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Default Extension="fntdata" ContentType="application/x-fontdata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before="0" w:after="0"/>
        <w:jc w:val="center"/>
        <w:rPr>
          <w:sz w:val="18"/>
          <w:szCs w:val="18"/>
        </w:rPr>
      </w:pPr>
      <w:r>
        <w:rPr>
          <w:rFonts w:cs="Times New Roman" w:ascii="Times New Roman" w:hAnsi="Times New Roman"/>
          <w:b/>
          <w:sz w:val="18"/>
          <w:szCs w:val="18"/>
        </w:rPr>
        <w:t xml:space="preserve">Информационное сообщение </w:t>
      </w:r>
    </w:p>
    <w:p>
      <w:pPr>
        <w:pStyle w:val="Normal"/>
        <w:spacing w:lineRule="auto" w:line="240" w:before="0" w:after="0"/>
        <w:ind w:firstLine="561"/>
        <w:jc w:val="center"/>
        <w:rPr>
          <w:sz w:val="18"/>
          <w:szCs w:val="18"/>
        </w:rPr>
      </w:pPr>
      <w:r>
        <w:rPr>
          <w:rFonts w:cs="Times New Roman" w:ascii="Times New Roman" w:hAnsi="Times New Roman"/>
          <w:b/>
          <w:sz w:val="18"/>
          <w:szCs w:val="18"/>
        </w:rPr>
        <w:t xml:space="preserve">о проведении продажи посредством публичного предложения </w:t>
      </w:r>
    </w:p>
    <w:p>
      <w:pPr>
        <w:pStyle w:val="Normal"/>
        <w:spacing w:before="0" w:after="0"/>
        <w:jc w:val="center"/>
        <w:rPr>
          <w:sz w:val="18"/>
          <w:szCs w:val="18"/>
        </w:rPr>
      </w:pPr>
      <w:r>
        <w:rPr>
          <w:rFonts w:cs="Times New Roman" w:ascii="Times New Roman" w:hAnsi="Times New Roman"/>
          <w:b/>
          <w:sz w:val="18"/>
          <w:szCs w:val="18"/>
        </w:rPr>
        <w:t xml:space="preserve">высвобождаемого движимого военного имущества № </w:t>
      </w:r>
      <w:r>
        <w:rPr>
          <w:rFonts w:cs="Times New Roman" w:ascii="Times New Roman" w:hAnsi="Times New Roman"/>
          <w:b/>
          <w:sz w:val="18"/>
          <w:szCs w:val="18"/>
        </w:rPr>
        <w:t>3</w:t>
      </w:r>
    </w:p>
    <w:tbl>
      <w:tblPr>
        <w:tblW w:w="10203" w:type="dxa"/>
        <w:jc w:val="start"/>
        <w:tblInd w:w="0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val="04a0" w:noHBand="0" w:noVBand="1" w:firstColumn="1" w:lastRow="0" w:lastColumn="0" w:firstRow="1"/>
      </w:tblPr>
      <w:tblGrid>
        <w:gridCol w:w="624"/>
        <w:gridCol w:w="2607"/>
        <w:gridCol w:w="6972"/>
      </w:tblGrid>
      <w:tr>
        <w:trPr/>
        <w:tc>
          <w:tcPr>
            <w:tcW w:w="6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№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п/п</w:t>
            </w:r>
          </w:p>
        </w:tc>
        <w:tc>
          <w:tcPr>
            <w:tcW w:w="260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Наименование сведений</w:t>
            </w:r>
          </w:p>
        </w:tc>
        <w:tc>
          <w:tcPr>
            <w:tcW w:w="69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Информация</w:t>
            </w:r>
          </w:p>
        </w:tc>
      </w:tr>
      <w:tr>
        <w:trPr>
          <w:trHeight w:val="1164" w:hRule="atLeast"/>
        </w:trPr>
        <w:tc>
          <w:tcPr>
            <w:tcW w:w="6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hanging="624" w:start="624" w:end="624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60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Наименование государственного органа, принявшего решение об условиях приватизации имущества, реквизиты указанного решения</w:t>
            </w:r>
          </w:p>
        </w:tc>
        <w:tc>
          <w:tcPr>
            <w:tcW w:w="69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sz w:val="18"/>
                <w:szCs w:val="18"/>
              </w:rPr>
            </w:pPr>
            <w:r>
              <w:rPr>
                <w:rFonts w:eastAsia="Calibri" w:cs="Times New Roman" w:ascii="Times New Roman" w:hAnsi="Times New Roman"/>
                <w:bCs/>
                <w:color w:val="000000"/>
                <w:kern w:val="0"/>
                <w:sz w:val="18"/>
                <w:szCs w:val="18"/>
                <w:lang w:val="ru-RU" w:eastAsia="en-US" w:bidi="ar-SA"/>
              </w:rPr>
              <w:t xml:space="preserve">Федеральное казенное учреждение «Дальневосточный центр материально-технического обеспечения Федеральной службы войск национальной гвардии» (на основании Сводного перечня движимого военного имущества, подлежащего реализации по номенклатуре ДТО Росгвардии, подлежащего </w:t>
            </w:r>
            <w:r>
              <w:rPr>
                <w:rFonts w:eastAsia="Times New Roman" w:cs="Times New Roman" w:ascii="Times New Roman" w:hAnsi="Times New Roman"/>
                <w:bCs/>
                <w:color w:val="000000"/>
                <w:kern w:val="0"/>
                <w:sz w:val="18"/>
                <w:szCs w:val="18"/>
                <w:lang w:val="ru-RU" w:eastAsia="ru-RU" w:bidi="ar-SA"/>
              </w:rPr>
              <w:t xml:space="preserve">в </w:t>
            </w:r>
            <w:r>
              <w:rPr>
                <w:rFonts w:eastAsia="Times New Roman" w:cs="Times New Roman" w:ascii="Times New Roman" w:hAnsi="Times New Roman"/>
                <w:bCs/>
                <w:color w:val="auto"/>
                <w:kern w:val="0"/>
                <w:sz w:val="18"/>
                <w:szCs w:val="18"/>
                <w:lang w:val="ru-RU" w:eastAsia="ru-RU" w:bidi="ar-SA"/>
              </w:rPr>
              <w:t>2026</w:t>
            </w:r>
            <w:r>
              <w:rPr>
                <w:rFonts w:eastAsia="Times New Roman" w:cs="Times New Roman" w:ascii="Times New Roman" w:hAnsi="Times New Roman"/>
                <w:bCs/>
                <w:color w:val="000000"/>
                <w:kern w:val="0"/>
                <w:sz w:val="18"/>
                <w:szCs w:val="18"/>
                <w:lang w:val="ru-RU" w:eastAsia="ru-RU" w:bidi="ar-SA"/>
              </w:rPr>
              <w:t xml:space="preserve"> году (</w:t>
            </w:r>
            <w:r>
              <w:rPr>
                <w:rFonts w:eastAsia="Calibri" w:cs="Times New Roman" w:ascii="Times New Roman" w:hAnsi="Times New Roman"/>
                <w:bCs/>
                <w:color w:val="auto"/>
                <w:kern w:val="0"/>
                <w:sz w:val="18"/>
                <w:szCs w:val="18"/>
                <w:lang w:val="ru-RU" w:eastAsia="en-US" w:bidi="ar-SA"/>
              </w:rPr>
              <w:t xml:space="preserve">распоряжения заместителя директора ФС ВНГ РФ – главнокомандующего ВНГ </w:t>
            </w:r>
            <w:r>
              <w:rPr>
                <w:rFonts w:eastAsia="Calibri" w:cs="Times New Roman" w:ascii="Times New Roman" w:hAnsi="Times New Roman"/>
                <w:bCs/>
                <w:color w:val="000000"/>
                <w:kern w:val="0"/>
                <w:sz w:val="18"/>
                <w:szCs w:val="18"/>
                <w:lang w:val="ru-RU" w:eastAsia="en-US" w:bidi="ar-SA"/>
              </w:rPr>
              <w:t xml:space="preserve">от </w:t>
            </w:r>
            <w:r>
              <w:rPr>
                <w:rFonts w:eastAsia="Times New Roman" w:cs="Times New Roman" w:ascii="Times New Roman" w:hAnsi="Times New Roman"/>
                <w:bCs/>
                <w:color w:val="000000"/>
                <w:kern w:val="0"/>
                <w:sz w:val="18"/>
                <w:szCs w:val="18"/>
                <w:lang w:val="ru-RU" w:eastAsia="ru-RU" w:bidi="ar-SA"/>
              </w:rPr>
              <w:t>от 07.10.2025 № 800/5/15-14365).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hanging="624" w:start="624" w:end="624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60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Наименование имущества и иные позволяющие его индивидуализировать сведения (характеристика имущества)</w:t>
            </w:r>
          </w:p>
        </w:tc>
        <w:tc>
          <w:tcPr>
            <w:tcW w:w="69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ind w:hanging="0" w:start="0" w:end="-1"/>
              <w:jc w:val="both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b/>
                <w:sz w:val="18"/>
                <w:szCs w:val="18"/>
              </w:rPr>
              <w:t xml:space="preserve">Высвобождаемое движимое имущество </w:t>
            </w:r>
            <w:r>
              <w:rPr>
                <w:rFonts w:eastAsia="Calibri" w:cs="Times New Roman" w:ascii="Times New Roman" w:hAnsi="Times New Roman"/>
                <w:b/>
                <w:sz w:val="18"/>
                <w:szCs w:val="18"/>
              </w:rPr>
              <w:t>продовольственной службы.</w:t>
            </w:r>
          </w:p>
          <w:p>
            <w:pPr>
              <w:pStyle w:val="Normal"/>
              <w:spacing w:lineRule="auto" w:line="240" w:before="0" w:after="0"/>
              <w:ind w:hanging="0" w:start="0" w:end="-1"/>
              <w:jc w:val="both"/>
              <w:rPr>
                <w:sz w:val="18"/>
                <w:szCs w:val="18"/>
              </w:rPr>
            </w:pPr>
            <w:r>
              <w:rPr>
                <w:rFonts w:eastAsia="Arial Unicode MS" w:cs="Times New Roman" w:ascii="Times New Roman" w:hAnsi="Times New Roman"/>
                <w:color w:val="000000"/>
                <w:sz w:val="18"/>
                <w:szCs w:val="18"/>
              </w:rPr>
              <w:t>Перечень и характеристика имущества указаны в Приложении № 1 к настоящему Информационному сообщению.</w:t>
            </w:r>
          </w:p>
          <w:p>
            <w:pPr>
              <w:pStyle w:val="Normal"/>
              <w:spacing w:lineRule="auto" w:line="240" w:before="0" w:after="0"/>
              <w:rPr>
                <w:sz w:val="18"/>
                <w:szCs w:val="18"/>
              </w:rPr>
            </w:pPr>
            <w:r>
              <w:rPr>
                <w:rFonts w:eastAsia="Arial Unicode MS" w:cs="Times New Roman" w:ascii="Times New Roman" w:hAnsi="Times New Roman"/>
                <w:color w:val="000000"/>
                <w:sz w:val="18"/>
                <w:szCs w:val="18"/>
              </w:rPr>
              <w:t xml:space="preserve">Местонахождение </w:t>
            </w:r>
            <w:r>
              <w:rPr>
                <w:rFonts w:cs="Times New Roman" w:ascii="Times New Roman" w:hAnsi="Times New Roman"/>
                <w:sz w:val="18"/>
                <w:szCs w:val="18"/>
              </w:rPr>
              <w:t>имущества</w:t>
            </w:r>
            <w:r>
              <w:rPr>
                <w:rFonts w:eastAsia="Arial Unicode MS" w:cs="Times New Roman" w:ascii="Times New Roman" w:hAnsi="Times New Roman"/>
                <w:color w:val="000000"/>
                <w:sz w:val="18"/>
                <w:szCs w:val="18"/>
              </w:rPr>
              <w:t>:</w:t>
            </w:r>
          </w:p>
          <w:p>
            <w:pPr>
              <w:pStyle w:val="Normal"/>
              <w:spacing w:lineRule="auto" w:line="240" w:before="0" w:after="0"/>
              <w:ind w:hanging="0" w:start="0" w:end="-1"/>
              <w:jc w:val="both"/>
              <w:rPr/>
            </w:pPr>
            <w:r>
              <w:rPr>
                <w:rStyle w:val="FontStyle19"/>
                <w:rFonts w:eastAsia="Calibri" w:cs="Times New Roman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18"/>
                <w:szCs w:val="18"/>
                <w:u w:val="none"/>
                <w:shd w:fill="auto" w:val="clear"/>
                <w:em w:val="none"/>
                <w:lang w:val="ru-RU" w:eastAsia="ru-RU" w:bidi="ar-SA"/>
              </w:rPr>
              <w:t>Войсковая часть 3524, 680014, г. Хабаровск ул. Горького 71б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hanging="624" w:start="624" w:end="624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60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Способ приватизации имущества</w:t>
            </w:r>
          </w:p>
        </w:tc>
        <w:tc>
          <w:tcPr>
            <w:tcW w:w="69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sz w:val="18"/>
                <w:szCs w:val="18"/>
              </w:rPr>
            </w:pPr>
            <w:r>
              <w:rPr>
                <w:rFonts w:eastAsia="Calibri" w:cs="Times New Roman" w:ascii="Times New Roman" w:hAnsi="Times New Roman" w:eastAsiaTheme="minorHAnsi"/>
                <w:bCs/>
                <w:color w:val="auto"/>
                <w:kern w:val="0"/>
                <w:sz w:val="18"/>
                <w:szCs w:val="18"/>
                <w:lang w:val="ru-RU" w:eastAsia="en-US" w:bidi="ar-SA"/>
              </w:rPr>
              <w:t>Продажа государственного имущества посредством публичного предложения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hanging="624" w:start="624" w:end="624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60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 xml:space="preserve">Начальная цена продажи </w:t>
            </w:r>
            <w:r>
              <w:rPr>
                <w:rFonts w:cs="Times New Roman" w:ascii="Times New Roman" w:hAnsi="Times New Roman"/>
                <w:bCs/>
                <w:sz w:val="18"/>
                <w:szCs w:val="18"/>
              </w:rPr>
              <w:t>имущества</w:t>
            </w:r>
          </w:p>
        </w:tc>
        <w:tc>
          <w:tcPr>
            <w:tcW w:w="69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1 600,00  руб.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hanging="624" w:start="624" w:end="624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60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Величина повышения начальной цены («шаг понижения»)</w:t>
            </w:r>
          </w:p>
        </w:tc>
        <w:tc>
          <w:tcPr>
            <w:tcW w:w="69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18"/>
                <w:szCs w:val="18"/>
              </w:rPr>
            </w:pPr>
            <w:r>
              <w:rPr>
                <w:rFonts w:eastAsia="Calibri" w:cs="Times New Roman" w:ascii="Times New Roman" w:hAnsi="Times New Roman" w:eastAsiaTheme="minorHAnsi"/>
                <w:color w:val="auto"/>
                <w:kern w:val="0"/>
                <w:sz w:val="18"/>
                <w:szCs w:val="18"/>
                <w:lang w:val="ru-RU" w:eastAsia="en-US" w:bidi="ar-SA"/>
              </w:rPr>
              <w:t>Не более 10</w:t>
            </w:r>
            <w:r>
              <w:rPr>
                <w:rFonts w:cs="Times New Roman" w:ascii="Times New Roman" w:hAnsi="Times New Roman"/>
                <w:sz w:val="18"/>
                <w:szCs w:val="18"/>
              </w:rPr>
              <w:t xml:space="preserve"> % от начальной цены продажи —</w:t>
            </w:r>
            <w:r>
              <w:rPr>
                <w:rFonts w:eastAsia="Calibri" w:cs="Times New Roman" w:ascii="Times New Roman" w:hAnsi="Times New Roman" w:eastAsiaTheme="minorHAnsi"/>
                <w:color w:val="auto"/>
                <w:kern w:val="0"/>
                <w:sz w:val="18"/>
                <w:szCs w:val="18"/>
                <w:lang w:val="ru-RU" w:eastAsia="en-US" w:bidi="ar-SA"/>
              </w:rPr>
              <w:t xml:space="preserve"> </w:t>
            </w:r>
            <w:r>
              <w:rPr>
                <w:rFonts w:eastAsia="Calibri" w:cs="Times New Roman" w:ascii="Times New Roman" w:hAnsi="Times New Roman" w:eastAsiaTheme="minorHAnsi"/>
                <w:color w:val="auto"/>
                <w:kern w:val="0"/>
                <w:sz w:val="18"/>
                <w:szCs w:val="18"/>
                <w:lang w:val="ru-RU" w:eastAsia="en-US" w:bidi="ar-SA"/>
              </w:rPr>
              <w:t>16</w:t>
            </w:r>
            <w:r>
              <w:rPr>
                <w:rFonts w:eastAsia="Calibri" w:cs="Times New Roman" w:ascii="Times New Roman" w:hAnsi="Times New Roman" w:eastAsiaTheme="minorHAnsi"/>
                <w:color w:val="auto"/>
                <w:kern w:val="0"/>
                <w:sz w:val="18"/>
                <w:szCs w:val="18"/>
                <w:lang w:val="ru-RU" w:eastAsia="en-US" w:bidi="ar-SA"/>
              </w:rPr>
              <w:t xml:space="preserve">0,00 </w:t>
            </w:r>
            <w:r>
              <w:rPr>
                <w:rFonts w:cs="Times New Roman" w:ascii="Times New Roman" w:hAnsi="Times New Roman"/>
                <w:sz w:val="18"/>
                <w:szCs w:val="18"/>
              </w:rPr>
              <w:t>руб.</w:t>
            </w:r>
          </w:p>
        </w:tc>
      </w:tr>
      <w:tr>
        <w:trPr/>
        <w:tc>
          <w:tcPr>
            <w:tcW w:w="624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hanging="624" w:start="624" w:end="624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60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Величина повышения начальной цены («шаг аукциона»)</w:t>
            </w:r>
          </w:p>
        </w:tc>
        <w:tc>
          <w:tcPr>
            <w:tcW w:w="6972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Не более 50% от «шага понижения» - </w:t>
            </w:r>
            <w:r>
              <w:rPr>
                <w:rFonts w:ascii="Times New Roman" w:hAnsi="Times New Roman"/>
                <w:sz w:val="18"/>
                <w:szCs w:val="18"/>
              </w:rPr>
              <w:t>80,00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руб.</w:t>
            </w:r>
          </w:p>
          <w:p>
            <w:pPr>
              <w:pStyle w:val="Normal"/>
              <w:spacing w:lineRule="auto" w:line="240" w:before="0" w:after="0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фиксированная сумма, не изменяется в течение продажи.</w:t>
            </w:r>
          </w:p>
        </w:tc>
      </w:tr>
      <w:tr>
        <w:trPr/>
        <w:tc>
          <w:tcPr>
            <w:tcW w:w="624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hanging="624" w:start="624" w:end="624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60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Минимальная цена продажи («цена отсечения»)</w:t>
            </w:r>
          </w:p>
        </w:tc>
        <w:tc>
          <w:tcPr>
            <w:tcW w:w="6972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Цена отсечения 50% начальной цены продажи — </w:t>
            </w:r>
            <w:r>
              <w:rPr>
                <w:rFonts w:eastAsia="Calibri" w:cs="" w:ascii="Times New Roman" w:hAnsi="Times New Roman" w:cstheme="minorBidi" w:eastAsiaTheme="minorHAnsi"/>
                <w:color w:val="auto"/>
                <w:kern w:val="0"/>
                <w:sz w:val="18"/>
                <w:szCs w:val="18"/>
                <w:lang w:val="ru-RU" w:eastAsia="en-US" w:bidi="ar-SA"/>
              </w:rPr>
              <w:t xml:space="preserve">800,00 </w:t>
            </w:r>
            <w:r>
              <w:rPr>
                <w:rFonts w:ascii="Times New Roman" w:hAnsi="Times New Roman"/>
                <w:sz w:val="18"/>
                <w:szCs w:val="18"/>
              </w:rPr>
              <w:t>руб.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hanging="624" w:start="624" w:end="624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60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Условия и сроки платежа, необходимые реквизиты счетов</w:t>
            </w:r>
          </w:p>
        </w:tc>
        <w:tc>
          <w:tcPr>
            <w:tcW w:w="69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sz w:val="18"/>
                <w:szCs w:val="18"/>
              </w:rPr>
            </w:pPr>
            <w:bookmarkStart w:id="0" w:name="sub_662"/>
            <w:r>
              <w:rPr>
                <w:rFonts w:eastAsia="" w:cs="Times New Roman" w:ascii="Times New Roman" w:hAnsi="Times New Roman" w:eastAsiaTheme="minorEastAsia"/>
                <w:sz w:val="18"/>
                <w:szCs w:val="18"/>
                <w:lang w:eastAsia="ru-RU"/>
              </w:rPr>
              <w:t xml:space="preserve">      </w:t>
            </w:r>
            <w:bookmarkStart w:id="1" w:name="sub_6621"/>
            <w:bookmarkEnd w:id="0"/>
            <w:r>
              <w:rPr>
                <w:rFonts w:eastAsia="" w:cs="Times New Roman" w:ascii="Times New Roman" w:hAnsi="Times New Roman" w:eastAsiaTheme="minorEastAsia"/>
                <w:sz w:val="18"/>
                <w:szCs w:val="18"/>
                <w:lang w:eastAsia="ru-RU"/>
              </w:rPr>
              <w:t>Денежные средства в счет оплаты государственного или муниципального имущества, подлежат перечислению победителем Балансодержателю в установленном порядке в бюджет соответствующего уровня бюджетной системы Российской Федерации в размере и сроки, которые указаны в договоре купли-продажи имущества, в течении 15 рабочих дней со дня заключения такого договора</w:t>
            </w:r>
            <w:bookmarkEnd w:id="1"/>
            <w:r>
              <w:rPr>
                <w:rFonts w:eastAsia="" w:cs="Times New Roman" w:ascii="Times New Roman" w:hAnsi="Times New Roman" w:eastAsiaTheme="minorEastAsia"/>
                <w:sz w:val="18"/>
                <w:szCs w:val="18"/>
                <w:lang w:eastAsia="ru-RU"/>
              </w:rPr>
              <w:t xml:space="preserve"> по </w:t>
            </w:r>
            <w:r>
              <w:rPr>
                <w:rFonts w:eastAsia="" w:cs="Times New Roman" w:ascii="Times New Roman" w:hAnsi="Times New Roman" w:eastAsiaTheme="minorEastAsia"/>
                <w:b/>
                <w:i/>
                <w:sz w:val="18"/>
                <w:szCs w:val="18"/>
                <w:lang w:eastAsia="ru-RU"/>
              </w:rPr>
              <w:t>платежным реквизитам Балансодержателя</w:t>
            </w:r>
            <w:r>
              <w:rPr>
                <w:rFonts w:eastAsia="" w:cs="Times New Roman" w:ascii="Times New Roman" w:hAnsi="Times New Roman"/>
                <w:color w:val="FF0000"/>
                <w:sz w:val="18"/>
                <w:szCs w:val="18"/>
                <w:lang w:eastAsia="ru-RU"/>
              </w:rPr>
              <w:t>.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hanging="624" w:start="624" w:end="624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60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Размер задатка, срок и порядок его внесения, необходимые реквизиты счетов</w:t>
            </w:r>
          </w:p>
        </w:tc>
        <w:tc>
          <w:tcPr>
            <w:tcW w:w="69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bCs/>
                <w:sz w:val="18"/>
                <w:szCs w:val="18"/>
              </w:rPr>
              <w:t xml:space="preserve">       </w:t>
            </w:r>
            <w:r>
              <w:rPr>
                <w:rFonts w:cs="Times New Roman" w:ascii="Times New Roman" w:hAnsi="Times New Roman"/>
                <w:bCs/>
                <w:sz w:val="18"/>
                <w:szCs w:val="18"/>
              </w:rPr>
              <w:t xml:space="preserve">10% от начальной цены реализации </w:t>
            </w:r>
            <w:r>
              <w:rPr>
                <w:rFonts w:cs="Times New Roman" w:ascii="Times New Roman" w:hAnsi="Times New Roman"/>
                <w:bCs/>
                <w:color w:val="000000"/>
                <w:sz w:val="18"/>
                <w:szCs w:val="18"/>
              </w:rPr>
              <w:t xml:space="preserve"> - </w:t>
            </w:r>
            <w:r>
              <w:rPr>
                <w:rFonts w:cs="Times New Roman" w:ascii="Times New Roman" w:hAnsi="Times New Roman"/>
                <w:bCs/>
                <w:color w:val="000000"/>
                <w:sz w:val="18"/>
                <w:szCs w:val="18"/>
              </w:rPr>
              <w:t>16</w:t>
            </w:r>
            <w:r>
              <w:rPr>
                <w:rFonts w:cs="Times New Roman" w:ascii="Times New Roman" w:hAnsi="Times New Roman"/>
                <w:bCs/>
                <w:color w:val="000000"/>
                <w:sz w:val="18"/>
                <w:szCs w:val="18"/>
              </w:rPr>
              <w:t>0,00</w:t>
            </w:r>
            <w:r>
              <w:rPr>
                <w:rFonts w:eastAsia="Calibri" w:cs="Times New Roman" w:ascii="Times New Roman" w:hAnsi="Times New Roman" w:eastAsiaTheme="minorHAnsi"/>
                <w:bCs/>
                <w:color w:val="auto"/>
                <w:kern w:val="0"/>
                <w:sz w:val="18"/>
                <w:szCs w:val="18"/>
                <w:lang w:val="ru-RU" w:eastAsia="en-US" w:bidi="ar-SA"/>
              </w:rPr>
              <w:t xml:space="preserve"> </w:t>
            </w:r>
            <w:r>
              <w:rPr>
                <w:rFonts w:cs="Times New Roman" w:ascii="Times New Roman" w:hAnsi="Times New Roman"/>
                <w:bCs/>
                <w:color w:val="000000"/>
                <w:sz w:val="18"/>
                <w:szCs w:val="18"/>
              </w:rPr>
              <w:t>руб.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bCs/>
                <w:sz w:val="18"/>
                <w:szCs w:val="18"/>
              </w:rPr>
              <w:t xml:space="preserve">Перечисление задатка претендентами на участие в аукционе претендент перечисляет в безналичном порядке денежные средства в валюте Российской Федерации на </w:t>
            </w:r>
            <w:r>
              <w:rPr>
                <w:rFonts w:eastAsia="Calibri" w:cs="Times New Roman" w:ascii="Times New Roman" w:hAnsi="Times New Roman" w:eastAsiaTheme="minorHAnsi"/>
                <w:bCs/>
                <w:color w:val="auto"/>
                <w:kern w:val="0"/>
                <w:sz w:val="18"/>
                <w:szCs w:val="18"/>
                <w:lang w:val="ru-RU" w:eastAsia="en-US" w:bidi="ar-SA"/>
              </w:rPr>
              <w:t>банковский счет Оператора электронной площадки</w:t>
            </w:r>
          </w:p>
          <w:p>
            <w:pPr>
              <w:pStyle w:val="Normal"/>
              <w:spacing w:lineRule="auto" w:line="240" w:before="0" w:after="0"/>
              <w:ind w:firstLine="567"/>
              <w:jc w:val="both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b/>
                <w:bCs/>
                <w:iCs/>
                <w:sz w:val="18"/>
                <w:szCs w:val="18"/>
              </w:rPr>
              <w:t>Задаток </w:t>
            </w:r>
            <w:r>
              <w:rPr>
                <w:rFonts w:cs="Times New Roman" w:ascii="Times New Roman" w:hAnsi="Times New Roman"/>
                <w:bCs/>
                <w:iCs/>
                <w:sz w:val="18"/>
                <w:szCs w:val="18"/>
              </w:rPr>
              <w:t>должен быть перечислен на указанный счет не позднее </w:t>
            </w:r>
            <w:r>
              <w:rPr>
                <w:rFonts w:cs="Times New Roman" w:ascii="Times New Roman" w:hAnsi="Times New Roman"/>
                <w:b/>
                <w:bCs/>
                <w:iCs/>
                <w:sz w:val="18"/>
                <w:szCs w:val="18"/>
              </w:rPr>
              <w:t>«</w:t>
            </w:r>
            <w:r>
              <w:rPr>
                <w:rFonts w:eastAsia="Calibri" w:cs="Times New Roman" w:ascii="Times New Roman" w:hAnsi="Times New Roman" w:eastAsiaTheme="minorHAnsi"/>
                <w:b/>
                <w:bCs/>
                <w:iCs/>
                <w:color w:val="auto"/>
                <w:kern w:val="0"/>
                <w:sz w:val="18"/>
                <w:szCs w:val="18"/>
                <w:lang w:val="ru-RU" w:eastAsia="en-US" w:bidi="ar-SA"/>
              </w:rPr>
              <w:t>25</w:t>
            </w:r>
            <w:r>
              <w:rPr>
                <w:rFonts w:cs="Times New Roman" w:ascii="Times New Roman" w:hAnsi="Times New Roman"/>
                <w:b/>
                <w:bCs/>
                <w:iCs/>
                <w:sz w:val="18"/>
                <w:szCs w:val="18"/>
              </w:rPr>
              <w:t xml:space="preserve">» </w:t>
            </w:r>
            <w:r>
              <w:rPr>
                <w:rFonts w:eastAsia="Calibri" w:cs="Times New Roman" w:ascii="Times New Roman" w:hAnsi="Times New Roman" w:eastAsiaTheme="minorHAnsi"/>
                <w:b/>
                <w:bCs/>
                <w:iCs/>
                <w:color w:val="auto"/>
                <w:kern w:val="0"/>
                <w:sz w:val="18"/>
                <w:szCs w:val="18"/>
                <w:lang w:val="ru-RU" w:eastAsia="en-US" w:bidi="ar-SA"/>
              </w:rPr>
              <w:t>сентября</w:t>
            </w:r>
            <w:r>
              <w:rPr>
                <w:rFonts w:cs="Times New Roman" w:ascii="Times New Roman" w:hAnsi="Times New Roman"/>
                <w:b/>
                <w:bCs/>
                <w:iCs/>
                <w:sz w:val="18"/>
                <w:szCs w:val="18"/>
              </w:rPr>
              <w:t xml:space="preserve"> </w:t>
            </w:r>
            <w:r>
              <w:rPr>
                <w:rFonts w:eastAsia="Calibri" w:cs="Times New Roman" w:ascii="Times New Roman" w:hAnsi="Times New Roman" w:eastAsiaTheme="minorHAnsi"/>
                <w:b/>
                <w:color w:val="auto"/>
                <w:kern w:val="0"/>
                <w:sz w:val="18"/>
                <w:szCs w:val="18"/>
                <w:lang w:val="ru-RU" w:eastAsia="en-US" w:bidi="ar-SA"/>
              </w:rPr>
              <w:t>2026</w:t>
            </w:r>
            <w:r>
              <w:rPr>
                <w:rFonts w:cs="Times New Roman" w:ascii="Times New Roman" w:hAnsi="Times New Roman"/>
                <w:b/>
                <w:sz w:val="18"/>
                <w:szCs w:val="18"/>
              </w:rPr>
              <w:t xml:space="preserve"> г.</w:t>
            </w:r>
          </w:p>
          <w:p>
            <w:pPr>
              <w:pStyle w:val="Normal"/>
              <w:tabs>
                <w:tab w:val="clear" w:pos="708"/>
                <w:tab w:val="left" w:pos="7740" w:leader="none"/>
              </w:tabs>
              <w:spacing w:lineRule="auto" w:line="240" w:before="0" w:after="0"/>
              <w:ind w:firstLine="600"/>
              <w:jc w:val="both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Задаток перечисляется на счет продавца на основании публичной оферты.</w:t>
            </w:r>
          </w:p>
          <w:p>
            <w:pPr>
              <w:pStyle w:val="Normal"/>
              <w:tabs>
                <w:tab w:val="clear" w:pos="708"/>
                <w:tab w:val="left" w:pos="7740" w:leader="none"/>
              </w:tabs>
              <w:spacing w:lineRule="auto" w:line="240" w:before="0" w:after="0"/>
              <w:ind w:firstLine="600"/>
              <w:jc w:val="both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Данное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Федерации, а подача претендентом заявки и перечисление задатка являются акцептом такой оферты, после чего договор о задатке считается заключенным в письменной форме.</w:t>
            </w:r>
          </w:p>
          <w:p>
            <w:pPr>
              <w:pStyle w:val="Normal"/>
              <w:tabs>
                <w:tab w:val="clear" w:pos="708"/>
                <w:tab w:val="left" w:pos="7740" w:leader="none"/>
              </w:tabs>
              <w:spacing w:lineRule="auto" w:line="240" w:before="0" w:after="0"/>
              <w:ind w:firstLine="600"/>
              <w:jc w:val="both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Документом, подтверждающим поступление задатка на счет Продавца, является выписка со счета продавца.</w:t>
            </w:r>
          </w:p>
          <w:p>
            <w:pPr>
              <w:pStyle w:val="Normal"/>
              <w:tabs>
                <w:tab w:val="clear" w:pos="708"/>
                <w:tab w:val="left" w:pos="1260" w:leader="none"/>
                <w:tab w:val="left" w:pos="7740" w:leader="none"/>
              </w:tabs>
              <w:spacing w:lineRule="auto" w:line="240" w:before="0" w:after="0"/>
              <w:ind w:firstLine="600"/>
              <w:jc w:val="both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Задаток вносится претендентом в качестве обеспечения исполнения обязательств по оплате высвобождаемого движимого военного имущества и, в случае признания претендента победителем аукциона, засчитывается в счет платежа, причитающегося с претендента в оплату за приобретаемое высвобождаемое движимое военное имущество.</w:t>
            </w:r>
          </w:p>
          <w:p>
            <w:pPr>
              <w:pStyle w:val="Normal"/>
              <w:tabs>
                <w:tab w:val="clear" w:pos="708"/>
                <w:tab w:val="left" w:pos="1260" w:leader="none"/>
                <w:tab w:val="left" w:pos="7740" w:leader="none"/>
              </w:tabs>
              <w:spacing w:lineRule="auto" w:line="240" w:before="0" w:after="0"/>
              <w:ind w:firstLine="600"/>
              <w:jc w:val="both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В случае не поступления в указанный срок суммы задатка на счет продавца, что подтверждается соответствующей выпиской, обязательства претендента по внесению задатка считаются неисполненными, претендент к участию в аукционе не допускается.</w:t>
            </w:r>
          </w:p>
          <w:p>
            <w:pPr>
              <w:pStyle w:val="Normal"/>
              <w:tabs>
                <w:tab w:val="clear" w:pos="708"/>
                <w:tab w:val="left" w:pos="1260" w:leader="none"/>
                <w:tab w:val="left" w:pos="7740" w:leader="none"/>
              </w:tabs>
              <w:spacing w:lineRule="auto" w:line="240" w:before="0" w:after="0"/>
              <w:ind w:firstLine="600"/>
              <w:jc w:val="both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Претендент не вправе распоряжаться денежными средствами, поступившими на счет Продавца в качестве задатка.</w:t>
            </w:r>
          </w:p>
          <w:p>
            <w:pPr>
              <w:pStyle w:val="BodyText"/>
              <w:tabs>
                <w:tab w:val="clear" w:pos="708"/>
                <w:tab w:val="left" w:pos="1260" w:leader="none"/>
                <w:tab w:val="left" w:pos="7740" w:leader="none"/>
              </w:tabs>
              <w:ind w:firstLine="6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 денежные средства, перечисленные претендентом в качестве задатка, проценты не начисляются.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Возврат денежных средств осуществляется на счет претендента, указанный в заявке.</w:t>
            </w:r>
          </w:p>
          <w:p>
            <w:pPr>
              <w:pStyle w:val="Normal"/>
              <w:tabs>
                <w:tab w:val="clear" w:pos="708"/>
                <w:tab w:val="left" w:pos="7740" w:leader="none"/>
              </w:tabs>
              <w:spacing w:lineRule="auto" w:line="240" w:before="0" w:after="0"/>
              <w:ind w:firstLine="600"/>
              <w:jc w:val="both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b/>
                <w:sz w:val="18"/>
                <w:szCs w:val="18"/>
                <w:u w:val="single"/>
              </w:rPr>
              <w:t>Задаток возвращается претенденту в следующих случаях и порядке:</w:t>
            </w:r>
          </w:p>
          <w:p>
            <w:pPr>
              <w:pStyle w:val="Normal"/>
              <w:tabs>
                <w:tab w:val="clear" w:pos="708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/>
              <w:jc w:val="both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- в случае если претенденту было отказано в приеме заявки на участие в аукционе, продавец обязуется возвратить сумму задатка на счет претендента, указанный в заявке, в течение 5 (пяти) дней с даты отказа в принятии заявки, проставленной продавцом на описи представленных претендентом документов;</w:t>
            </w:r>
          </w:p>
          <w:p>
            <w:pPr>
              <w:pStyle w:val="Normal"/>
              <w:tabs>
                <w:tab w:val="clear" w:pos="708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/>
              <w:jc w:val="both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- в случае если претендент не допущен к участию в аукционе, продавец обязуется возвратить сумму задатка на счет претендента, указанный в заявке, в течение 5 (пяти) дней со дня подписания протокола о признании претендентов участниками аукциона;</w:t>
            </w:r>
          </w:p>
          <w:p>
            <w:pPr>
              <w:pStyle w:val="Normal"/>
              <w:tabs>
                <w:tab w:val="clear" w:pos="708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/>
              <w:jc w:val="both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- в случае если участник не признан победителем аукциона, продавец обязуется возвратить сумму задатка на счет, указанный в заявке, в течение 5 (пяти) дней с даты подведения итогов аукциона;</w:t>
            </w:r>
          </w:p>
          <w:p>
            <w:pPr>
              <w:pStyle w:val="Normal"/>
              <w:tabs>
                <w:tab w:val="clear" w:pos="708"/>
                <w:tab w:val="left" w:pos="1260" w:leader="none"/>
                <w:tab w:val="left" w:pos="7740" w:leader="none"/>
              </w:tabs>
              <w:spacing w:lineRule="auto" w:line="240" w:before="0" w:after="0"/>
              <w:ind w:firstLine="709"/>
              <w:jc w:val="both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- в случае отзыва претендентом в установленном порядке заявки на участие в аукционе до даты окончания приема заявок продавец обязуется возвратить сумму задатка на счет претендента, указанный в заявке, в течение 5 (пяти) дней с даты получения продавцом от претендента письменного уведомления об отзыве заявки. Если заявка отозвана претендентом позднее даты окончания приема заявок, задаток возвращается в течение 5 (пяти) дней с даты подведения итогов аукциона;</w:t>
            </w:r>
          </w:p>
          <w:p>
            <w:pPr>
              <w:pStyle w:val="Normal"/>
              <w:tabs>
                <w:tab w:val="clear" w:pos="708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/>
              <w:jc w:val="both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cs="Times New Roman" w:ascii="Times New Roman" w:hAnsi="Times New Roman"/>
                <w:sz w:val="18"/>
                <w:szCs w:val="18"/>
              </w:rPr>
              <w:t>- в случае признания аукциона несостоявшимся, продавец обязуется возвратить сумму задатка на счет участника, указанный в заявке, в течение 5 (пяти) дней с даты подведения итогов аукциона;</w:t>
            </w:r>
          </w:p>
          <w:p>
            <w:pPr>
              <w:pStyle w:val="Normal"/>
              <w:tabs>
                <w:tab w:val="clear" w:pos="708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/>
              <w:jc w:val="both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- в случае отмены проведения аукциона, продавец в течение 5 (пяти) дней с даты опубликования об этом информационного сообщения возвращает участнику сумму задатка на счет, указанный в заявке;</w:t>
            </w:r>
          </w:p>
          <w:p>
            <w:pPr>
              <w:pStyle w:val="Normal"/>
              <w:tabs>
                <w:tab w:val="clear" w:pos="708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/>
              <w:jc w:val="both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- продавец освобождается от ответственности за несвоевременное перечисление суммы задатка на счет Претендента, если претендент предоставил недостоверные и (или) неполные сведения о своих реквизитах в заявке.</w:t>
            </w:r>
          </w:p>
          <w:p>
            <w:pPr>
              <w:pStyle w:val="Normal"/>
              <w:tabs>
                <w:tab w:val="clear" w:pos="708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600"/>
              <w:jc w:val="both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b/>
                <w:sz w:val="18"/>
                <w:szCs w:val="18"/>
                <w:u w:val="single"/>
              </w:rPr>
              <w:t>Задаток не возвращается в следующих случаях:</w:t>
            </w:r>
          </w:p>
          <w:p>
            <w:pPr>
              <w:pStyle w:val="Normal"/>
              <w:spacing w:lineRule="auto" w:line="240" w:before="0" w:after="0"/>
              <w:ind w:firstLine="709"/>
              <w:jc w:val="both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- если участник, признанный победителем аукциона, уклоняется или отказывается от заключения договора купли-продажи в установленный срок, в том числе, в случае непредставления таким участником документов, подтверждающих его право быть покупателем имущества (если заключение договора купли-продажи высвобождаемого движимого военного имущества являлось для участников аукциона лицензируемым видом деятельности, осуществление которого в силу действующего законодательства возможно только при наличии соответствующей лицензии;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hanging="624" w:start="624" w:end="624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60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Порядок, место, даты начала и окончания подачи заявок на участие в продаже, рассмотрение заявок, признание претендентами участников торгов Порядок разъяснения запросов.</w:t>
            </w:r>
          </w:p>
        </w:tc>
        <w:tc>
          <w:tcPr>
            <w:tcW w:w="69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/>
            </w:pPr>
            <w:r>
              <w:rPr>
                <w:rFonts w:eastAsia="" w:cs="Times New Roman CYR" w:ascii="Times New Roman CYR" w:hAnsi="Times New Roman CYR" w:eastAsiaTheme="minorEastAsia"/>
                <w:sz w:val="18"/>
                <w:szCs w:val="18"/>
                <w:lang w:eastAsia="ru-RU"/>
              </w:rPr>
              <w:t xml:space="preserve">     </w:t>
            </w:r>
            <w:r>
              <w:rPr>
                <w:rFonts w:eastAsia="" w:cs="Times New Roman" w:ascii="Times New Roman" w:hAnsi="Times New Roman" w:eastAsiaTheme="minorEastAsia"/>
                <w:sz w:val="18"/>
                <w:szCs w:val="18"/>
                <w:lang w:eastAsia="ru-RU"/>
              </w:rPr>
              <w:t xml:space="preserve">Торговая площадка </w:t>
            </w:r>
            <w:r>
              <w:rPr>
                <w:rFonts w:eastAsia="Times New Roman" w:cs="Times New Roman" w:ascii="Times New Roman" w:hAnsi="Times New Roman"/>
                <w:sz w:val="18"/>
                <w:szCs w:val="18"/>
                <w:lang w:eastAsia="ru-RU"/>
              </w:rPr>
              <w:t>АО «Единая электронная торговая площадка» (сокращенно АО «ЕЭТП» или «Росэлторг»). Сайт.</w:t>
            </w:r>
            <w:hyperlink r:id="rId2">
              <w:r>
                <w:rPr>
                  <w:rStyle w:val="Style7"/>
                  <w:rFonts w:eastAsia="Times New Roman" w:cs="Times New Roman" w:ascii="Times New Roman" w:hAnsi="Times New Roman"/>
                  <w:sz w:val="18"/>
                  <w:szCs w:val="18"/>
                  <w:u w:val="single"/>
                  <w:lang w:eastAsia="ru-RU"/>
                </w:rPr>
                <w:t>https://</w:t>
              </w:r>
              <w:r>
                <w:rPr>
                  <w:rStyle w:val="Style7"/>
                  <w:rFonts w:eastAsia="Times New Roman" w:cs="Times New Roman" w:ascii="Times New Roman" w:hAnsi="Times New Roman"/>
                  <w:sz w:val="18"/>
                  <w:szCs w:val="18"/>
                  <w:u w:val="single"/>
                  <w:lang w:val="en-US" w:eastAsia="ru-RU"/>
                </w:rPr>
                <w:t>www</w:t>
              </w:r>
              <w:r>
                <w:rPr>
                  <w:rStyle w:val="Style7"/>
                  <w:rFonts w:eastAsia="Times New Roman" w:cs="Times New Roman" w:ascii="Times New Roman" w:hAnsi="Times New Roman"/>
                  <w:sz w:val="18"/>
                  <w:szCs w:val="18"/>
                  <w:u w:val="single"/>
                  <w:lang w:eastAsia="ru-RU"/>
                </w:rPr>
                <w:t>.roseltorg.ru</w:t>
              </w:r>
            </w:hyperlink>
            <w:r>
              <w:rPr>
                <w:rFonts w:eastAsia="Times New Roman" w:cs="Times New Roman" w:ascii="Times New Roman" w:hAnsi="Times New Roman"/>
                <w:sz w:val="18"/>
                <w:szCs w:val="18"/>
                <w:lang w:eastAsia="ru-RU"/>
              </w:rPr>
              <w:t>.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sz w:val="18"/>
                <w:szCs w:val="18"/>
              </w:rPr>
            </w:pPr>
            <w:r>
              <w:rPr>
                <w:rFonts w:eastAsia="" w:cs="Times New Roman CYR" w:ascii="Times New Roman CYR" w:hAnsi="Times New Roman CYR" w:eastAsiaTheme="minorEastAsia"/>
                <w:sz w:val="18"/>
                <w:szCs w:val="18"/>
                <w:lang w:eastAsia="ru-RU"/>
              </w:rPr>
              <w:t>Одно лицо имеет право подать только одну заявку.</w:t>
            </w:r>
          </w:p>
          <w:p>
            <w:pPr>
              <w:pStyle w:val="Normal"/>
              <w:spacing w:lineRule="auto" w:line="240" w:before="0" w:after="0"/>
              <w:ind w:firstLine="600" w:end="-2"/>
              <w:jc w:val="both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b/>
                <w:sz w:val="18"/>
                <w:szCs w:val="18"/>
              </w:rPr>
              <w:t xml:space="preserve">Дата начала приема заявок на участие в продаже посредством публичного предложения – </w:t>
            </w:r>
            <w:r>
              <w:rPr>
                <w:rFonts w:cs="Times New Roman" w:ascii="Times New Roman" w:hAnsi="Times New Roman"/>
                <w:b/>
                <w:bCs/>
                <w:iCs/>
                <w:sz w:val="18"/>
                <w:szCs w:val="18"/>
              </w:rPr>
              <w:t>«</w:t>
            </w:r>
            <w:r>
              <w:rPr>
                <w:rFonts w:eastAsia="Calibri" w:cs="Times New Roman" w:ascii="Times New Roman" w:hAnsi="Times New Roman" w:eastAsiaTheme="minorHAnsi"/>
                <w:b/>
                <w:bCs/>
                <w:iCs/>
                <w:color w:val="auto"/>
                <w:kern w:val="0"/>
                <w:sz w:val="18"/>
                <w:szCs w:val="18"/>
                <w:lang w:val="ru-RU" w:eastAsia="en-US" w:bidi="ar-SA"/>
              </w:rPr>
              <w:t>31</w:t>
            </w:r>
            <w:r>
              <w:rPr>
                <w:rFonts w:cs="Times New Roman" w:ascii="Times New Roman" w:hAnsi="Times New Roman"/>
                <w:b/>
                <w:bCs/>
                <w:iCs/>
                <w:sz w:val="18"/>
                <w:szCs w:val="18"/>
              </w:rPr>
              <w:t xml:space="preserve">» </w:t>
            </w:r>
            <w:r>
              <w:rPr>
                <w:rFonts w:eastAsia="Calibri" w:cs="Times New Roman" w:ascii="Times New Roman" w:hAnsi="Times New Roman" w:eastAsiaTheme="minorHAnsi"/>
                <w:b/>
                <w:bCs/>
                <w:iCs/>
                <w:color w:val="auto"/>
                <w:kern w:val="0"/>
                <w:sz w:val="18"/>
                <w:szCs w:val="18"/>
                <w:lang w:val="ru-RU" w:eastAsia="en-US" w:bidi="ar-SA"/>
              </w:rPr>
              <w:t>августа</w:t>
            </w:r>
            <w:r>
              <w:rPr>
                <w:rFonts w:cs="Times New Roman" w:ascii="Times New Roman" w:hAnsi="Times New Roman"/>
                <w:b/>
                <w:bCs/>
                <w:iCs/>
                <w:sz w:val="18"/>
                <w:szCs w:val="18"/>
              </w:rPr>
              <w:t xml:space="preserve"> </w:t>
            </w:r>
            <w:r>
              <w:rPr>
                <w:rFonts w:eastAsia="Calibri" w:cs="Times New Roman" w:ascii="Times New Roman" w:hAnsi="Times New Roman" w:eastAsiaTheme="minorHAnsi"/>
                <w:b/>
                <w:color w:val="auto"/>
                <w:kern w:val="0"/>
                <w:sz w:val="18"/>
                <w:szCs w:val="18"/>
                <w:lang w:val="ru-RU" w:eastAsia="en-US" w:bidi="ar-SA"/>
              </w:rPr>
              <w:t>2026</w:t>
            </w:r>
            <w:r>
              <w:rPr>
                <w:rFonts w:cs="Times New Roman" w:ascii="Times New Roman" w:hAnsi="Times New Roman"/>
                <w:b/>
                <w:sz w:val="18"/>
                <w:szCs w:val="18"/>
              </w:rPr>
              <w:t xml:space="preserve"> г.</w:t>
            </w:r>
          </w:p>
          <w:p>
            <w:pPr>
              <w:pStyle w:val="Normal"/>
              <w:spacing w:lineRule="auto" w:line="240" w:before="0" w:after="0"/>
              <w:ind w:firstLine="600"/>
              <w:jc w:val="both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b/>
                <w:sz w:val="18"/>
                <w:szCs w:val="18"/>
              </w:rPr>
              <w:t xml:space="preserve">Дата окончания приема заявок на участие в продаже посредством публичного предложения – </w:t>
            </w:r>
            <w:r>
              <w:rPr>
                <w:rFonts w:cs="Times New Roman" w:ascii="Times New Roman" w:hAnsi="Times New Roman"/>
                <w:b/>
                <w:bCs/>
                <w:iCs/>
                <w:sz w:val="18"/>
                <w:szCs w:val="18"/>
              </w:rPr>
              <w:t>«</w:t>
            </w:r>
            <w:r>
              <w:rPr>
                <w:rFonts w:eastAsia="Calibri" w:cs="Times New Roman" w:ascii="Times New Roman" w:hAnsi="Times New Roman" w:eastAsiaTheme="minorHAnsi"/>
                <w:b/>
                <w:bCs/>
                <w:iCs/>
                <w:color w:val="auto"/>
                <w:kern w:val="0"/>
                <w:sz w:val="18"/>
                <w:szCs w:val="18"/>
                <w:lang w:val="ru-RU" w:eastAsia="en-US" w:bidi="ar-SA"/>
              </w:rPr>
              <w:t>28</w:t>
            </w:r>
            <w:r>
              <w:rPr>
                <w:rFonts w:cs="Times New Roman" w:ascii="Times New Roman" w:hAnsi="Times New Roman"/>
                <w:b/>
                <w:bCs/>
                <w:iCs/>
                <w:sz w:val="18"/>
                <w:szCs w:val="18"/>
              </w:rPr>
              <w:t xml:space="preserve">» </w:t>
            </w:r>
            <w:r>
              <w:rPr>
                <w:rFonts w:eastAsia="Calibri" w:cs="Times New Roman" w:ascii="Times New Roman" w:hAnsi="Times New Roman" w:eastAsiaTheme="minorHAnsi"/>
                <w:b/>
                <w:bCs/>
                <w:iCs/>
                <w:color w:val="auto"/>
                <w:kern w:val="0"/>
                <w:sz w:val="18"/>
                <w:szCs w:val="18"/>
                <w:lang w:val="ru-RU" w:eastAsia="en-US" w:bidi="ar-SA"/>
              </w:rPr>
              <w:t>сентября</w:t>
            </w:r>
            <w:r>
              <w:rPr>
                <w:rFonts w:cs="Times New Roman" w:ascii="Times New Roman" w:hAnsi="Times New Roman"/>
                <w:b/>
                <w:bCs/>
                <w:iCs/>
                <w:sz w:val="18"/>
                <w:szCs w:val="18"/>
              </w:rPr>
              <w:t xml:space="preserve"> </w:t>
            </w:r>
            <w:r>
              <w:rPr>
                <w:rFonts w:eastAsia="Calibri" w:cs="Times New Roman" w:ascii="Times New Roman" w:hAnsi="Times New Roman" w:eastAsiaTheme="minorHAnsi"/>
                <w:b/>
                <w:color w:val="auto"/>
                <w:kern w:val="0"/>
                <w:sz w:val="18"/>
                <w:szCs w:val="18"/>
                <w:lang w:val="ru-RU" w:eastAsia="en-US" w:bidi="ar-SA"/>
              </w:rPr>
              <w:t>2026</w:t>
            </w:r>
            <w:r>
              <w:rPr>
                <w:rFonts w:cs="Times New Roman" w:ascii="Times New Roman" w:hAnsi="Times New Roman"/>
                <w:b/>
                <w:sz w:val="18"/>
                <w:szCs w:val="18"/>
              </w:rPr>
              <w:t xml:space="preserve"> г.</w:t>
            </w:r>
          </w:p>
          <w:p>
            <w:pPr>
              <w:pStyle w:val="HTMLPreformatted"/>
              <w:ind w:firstLine="540"/>
              <w:jc w:val="both"/>
              <w:rPr>
                <w:sz w:val="18"/>
                <w:szCs w:val="18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iCs/>
                <w:color w:val="auto"/>
                <w:kern w:val="0"/>
                <w:sz w:val="18"/>
                <w:szCs w:val="18"/>
                <w:lang w:val="ru-RU" w:eastAsia="ru-RU" w:bidi="ar-SA"/>
              </w:rPr>
              <w:t>признание претендентов участниками торгов -</w:t>
            </w:r>
            <w:r>
              <w:rPr>
                <w:rFonts w:cs="Times New Roman" w:ascii="Times New Roman" w:hAnsi="Times New Roman"/>
                <w:b/>
                <w:bCs/>
                <w:iCs/>
                <w:sz w:val="18"/>
                <w:szCs w:val="18"/>
              </w:rPr>
              <w:t xml:space="preserve"> «</w:t>
            </w:r>
            <w:r>
              <w:rPr>
                <w:rFonts w:eastAsia="Times New Roman" w:cs="Times New Roman" w:ascii="Times New Roman" w:hAnsi="Times New Roman"/>
                <w:b/>
                <w:bCs/>
                <w:iCs/>
                <w:color w:val="auto"/>
                <w:kern w:val="0"/>
                <w:sz w:val="18"/>
                <w:szCs w:val="18"/>
                <w:lang w:val="ru-RU" w:eastAsia="ru-RU" w:bidi="ar-SA"/>
              </w:rPr>
              <w:t>30</w:t>
            </w:r>
            <w:r>
              <w:rPr>
                <w:rFonts w:cs="Times New Roman" w:ascii="Times New Roman" w:hAnsi="Times New Roman"/>
                <w:b/>
                <w:bCs/>
                <w:iCs/>
                <w:sz w:val="18"/>
                <w:szCs w:val="18"/>
              </w:rPr>
              <w:t xml:space="preserve">» </w:t>
            </w:r>
            <w:r>
              <w:rPr>
                <w:rFonts w:eastAsia="Times New Roman" w:cs="Times New Roman" w:ascii="Times New Roman" w:hAnsi="Times New Roman"/>
                <w:b/>
                <w:bCs/>
                <w:iCs/>
                <w:color w:val="auto"/>
                <w:kern w:val="0"/>
                <w:sz w:val="18"/>
                <w:szCs w:val="18"/>
                <w:lang w:val="ru-RU" w:eastAsia="ru-RU" w:bidi="ar-SA"/>
              </w:rPr>
              <w:t>сентября</w:t>
            </w:r>
            <w:r>
              <w:rPr>
                <w:rFonts w:cs="Times New Roman" w:ascii="Times New Roman" w:hAnsi="Times New Roman"/>
                <w:b/>
                <w:bCs/>
                <w:iCs/>
                <w:sz w:val="18"/>
                <w:szCs w:val="18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b/>
                <w:bCs/>
                <w:iCs/>
                <w:color w:val="auto"/>
                <w:kern w:val="0"/>
                <w:sz w:val="18"/>
                <w:szCs w:val="18"/>
                <w:lang w:val="ru-RU" w:eastAsia="ru-RU" w:bidi="ar-SA"/>
              </w:rPr>
              <w:t>2026</w:t>
            </w:r>
            <w:r>
              <w:rPr>
                <w:rFonts w:cs="Times New Roman" w:ascii="Times New Roman" w:hAnsi="Times New Roman"/>
                <w:b/>
                <w:bCs/>
                <w:iCs/>
                <w:sz w:val="18"/>
                <w:szCs w:val="18"/>
              </w:rPr>
              <w:t xml:space="preserve"> г.</w:t>
            </w:r>
          </w:p>
        </w:tc>
      </w:tr>
      <w:tr>
        <w:trPr>
          <w:trHeight w:val="791" w:hRule="atLeast"/>
        </w:trPr>
        <w:tc>
          <w:tcPr>
            <w:tcW w:w="6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hanging="624" w:start="624" w:end="624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60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Дата, время и место проведения аукциона</w:t>
            </w:r>
          </w:p>
        </w:tc>
        <w:tc>
          <w:tcPr>
            <w:tcW w:w="69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HTMLPreformatted"/>
              <w:ind w:firstLine="540"/>
              <w:jc w:val="both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b/>
                <w:sz w:val="18"/>
                <w:szCs w:val="18"/>
              </w:rPr>
              <w:t xml:space="preserve">Проведение </w:t>
            </w:r>
            <w:r>
              <w:rPr>
                <w:rFonts w:eastAsia="Times New Roman" w:cs="Times New Roman" w:ascii="Times New Roman" w:hAnsi="Times New Roman"/>
                <w:b/>
                <w:color w:val="auto"/>
                <w:kern w:val="0"/>
                <w:sz w:val="18"/>
                <w:szCs w:val="18"/>
                <w:lang w:val="ru-RU" w:eastAsia="ru-RU" w:bidi="ar-SA"/>
              </w:rPr>
              <w:t>торгов</w:t>
            </w:r>
            <w:r>
              <w:rPr>
                <w:rFonts w:cs="Times New Roman" w:ascii="Times New Roman" w:hAnsi="Times New Roman"/>
                <w:b/>
                <w:sz w:val="18"/>
                <w:szCs w:val="18"/>
              </w:rPr>
              <w:t xml:space="preserve"> </w:t>
            </w:r>
            <w:r>
              <w:rPr>
                <w:rFonts w:cs="Times New Roman" w:ascii="Times New Roman" w:hAnsi="Times New Roman"/>
                <w:b/>
                <w:bCs/>
                <w:iCs/>
                <w:sz w:val="18"/>
                <w:szCs w:val="18"/>
              </w:rPr>
              <w:t xml:space="preserve"> - «</w:t>
            </w:r>
            <w:r>
              <w:rPr>
                <w:rFonts w:eastAsia="Times New Roman" w:cs="Times New Roman" w:ascii="Times New Roman" w:hAnsi="Times New Roman"/>
                <w:b/>
                <w:bCs/>
                <w:iCs/>
                <w:color w:val="auto"/>
                <w:kern w:val="0"/>
                <w:sz w:val="18"/>
                <w:szCs w:val="18"/>
                <w:lang w:val="ru-RU" w:eastAsia="ru-RU" w:bidi="ar-SA"/>
              </w:rPr>
              <w:t>02</w:t>
            </w:r>
            <w:r>
              <w:rPr>
                <w:rFonts w:cs="Times New Roman" w:ascii="Times New Roman" w:hAnsi="Times New Roman"/>
                <w:b/>
                <w:bCs/>
                <w:iCs/>
                <w:sz w:val="18"/>
                <w:szCs w:val="18"/>
              </w:rPr>
              <w:t xml:space="preserve">» </w:t>
            </w:r>
            <w:r>
              <w:rPr>
                <w:rFonts w:eastAsia="Times New Roman" w:cs="Times New Roman" w:ascii="Times New Roman" w:hAnsi="Times New Roman"/>
                <w:b/>
                <w:bCs/>
                <w:iCs/>
                <w:color w:val="auto"/>
                <w:kern w:val="0"/>
                <w:sz w:val="18"/>
                <w:szCs w:val="18"/>
                <w:lang w:val="ru-RU" w:eastAsia="ru-RU" w:bidi="ar-SA"/>
              </w:rPr>
              <w:t>октября</w:t>
            </w:r>
            <w:r>
              <w:rPr>
                <w:rFonts w:cs="Times New Roman" w:ascii="Times New Roman" w:hAnsi="Times New Roman"/>
                <w:b/>
                <w:bCs/>
                <w:iCs/>
                <w:sz w:val="18"/>
                <w:szCs w:val="18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b/>
                <w:color w:val="auto"/>
                <w:kern w:val="0"/>
                <w:sz w:val="18"/>
                <w:szCs w:val="18"/>
                <w:lang w:val="ru-RU" w:eastAsia="ru-RU" w:bidi="ar-SA"/>
              </w:rPr>
              <w:t>2026</w:t>
            </w:r>
            <w:r>
              <w:rPr>
                <w:rFonts w:cs="Times New Roman" w:ascii="Times New Roman" w:hAnsi="Times New Roman"/>
                <w:b/>
                <w:sz w:val="18"/>
                <w:szCs w:val="18"/>
              </w:rPr>
              <w:t xml:space="preserve"> г. в 12 ч. 00 мин</w:t>
            </w:r>
            <w:r>
              <w:rPr>
                <w:rFonts w:cs="Times New Roman" w:ascii="Times New Roman" w:hAnsi="Times New Roman"/>
                <w:sz w:val="18"/>
                <w:szCs w:val="18"/>
              </w:rPr>
              <w:t>.</w:t>
            </w:r>
          </w:p>
          <w:p>
            <w:pPr>
              <w:pStyle w:val="HTMLPreformatted"/>
              <w:jc w:val="both"/>
              <w:rPr/>
            </w:pPr>
            <w:r>
              <w:rPr>
                <w:rFonts w:cs="Times New Roman" w:ascii="Times New Roman" w:hAnsi="Times New Roman"/>
                <w:sz w:val="18"/>
                <w:szCs w:val="18"/>
              </w:rPr>
              <w:t xml:space="preserve">АО «ЕЭТП» или «Росэлторг») </w:t>
            </w:r>
            <w:hyperlink r:id="rId3">
              <w:r>
                <w:rPr>
                  <w:rStyle w:val="Style7"/>
                  <w:rFonts w:cs="Times New Roman" w:ascii="Times New Roman" w:hAnsi="Times New Roman"/>
                  <w:color w:val="0000FF"/>
                  <w:sz w:val="18"/>
                  <w:szCs w:val="18"/>
                  <w:u w:val="single"/>
                </w:rPr>
                <w:t>https://</w:t>
              </w:r>
              <w:r>
                <w:rPr>
                  <w:rStyle w:val="Style7"/>
                  <w:rFonts w:cs="Times New Roman" w:ascii="Times New Roman" w:hAnsi="Times New Roman"/>
                  <w:color w:val="0000FF"/>
                  <w:sz w:val="18"/>
                  <w:szCs w:val="18"/>
                  <w:u w:val="single"/>
                  <w:lang w:val="en-US"/>
                </w:rPr>
                <w:t>www</w:t>
              </w:r>
              <w:r>
                <w:rPr>
                  <w:rStyle w:val="Style7"/>
                  <w:rFonts w:cs="Times New Roman" w:ascii="Times New Roman" w:hAnsi="Times New Roman"/>
                  <w:color w:val="0000FF"/>
                  <w:sz w:val="18"/>
                  <w:szCs w:val="18"/>
                  <w:u w:val="single"/>
                </w:rPr>
                <w:t>.roseltorg.ru</w:t>
              </w:r>
            </w:hyperlink>
            <w:r>
              <w:rPr>
                <w:rFonts w:cs="Times New Roman" w:ascii="Times New Roman" w:hAnsi="Times New Roman"/>
                <w:sz w:val="18"/>
                <w:szCs w:val="18"/>
              </w:rPr>
              <w:t>.</w:t>
            </w:r>
          </w:p>
          <w:p>
            <w:pPr>
              <w:pStyle w:val="HTMLPreformatted"/>
              <w:ind w:firstLine="540"/>
              <w:jc w:val="both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b/>
                <w:bCs/>
                <w:iCs/>
                <w:sz w:val="18"/>
                <w:szCs w:val="18"/>
              </w:rPr>
              <w:t>Подведение итогов – в день проведения торгов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hanging="624" w:start="624" w:end="624"/>
              <w:contextualSpacing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60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Исчерпывающий перечень представляемых участниками торгов документов и требования к их оформлению</w:t>
            </w:r>
          </w:p>
        </w:tc>
        <w:tc>
          <w:tcPr>
            <w:tcW w:w="69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widowControl/>
              <w:bidi w:val="0"/>
              <w:spacing w:lineRule="auto" w:line="240" w:before="0" w:after="0"/>
              <w:ind w:firstLine="510" w:start="0" w:end="0"/>
              <w:jc w:val="both"/>
              <w:rPr/>
            </w:pPr>
            <w:r>
              <w:rPr>
                <w:rFonts w:eastAsia="Times New Roman" w:cs="Times New Roman" w:ascii="Times New Roman" w:hAnsi="Times New Roman"/>
                <w:bCs/>
                <w:sz w:val="18"/>
                <w:szCs w:val="18"/>
                <w:lang w:eastAsia="ru-RU"/>
              </w:rPr>
              <w:t>Заявка (</w:t>
            </w:r>
            <w:r>
              <w:rPr>
                <w:rFonts w:eastAsia="Times New Roman" w:cs="Times New Roman" w:ascii="Times New Roman" w:hAnsi="Times New Roman"/>
                <w:bCs/>
                <w:sz w:val="18"/>
                <w:szCs w:val="18"/>
                <w:shd w:fill="FFFFFF" w:val="clear"/>
                <w:lang w:eastAsia="ru-RU"/>
              </w:rPr>
              <w:t>приложение № 2,3</w:t>
            </w:r>
            <w:r>
              <w:rPr>
                <w:rFonts w:eastAsia="Times New Roman" w:cs="Times New Roman" w:ascii="Times New Roman" w:hAnsi="Times New Roman"/>
                <w:bCs/>
                <w:sz w:val="18"/>
                <w:szCs w:val="18"/>
                <w:lang w:eastAsia="ru-RU"/>
              </w:rPr>
              <w:t xml:space="preserve">) подается путем заполнения ее электронной формы, размещенной в открытой для доступа неограниченного круга лиц части электронной площадки (далее - открытая часть электронной площадки), с приложением электронных образов документов, предусмотренных Федеральным </w:t>
            </w:r>
            <w:hyperlink r:id="rId4">
              <w:r>
                <w:rPr>
                  <w:rStyle w:val="Style7"/>
                  <w:rFonts w:eastAsia="Times New Roman" w:cs="Times New Roman" w:ascii="Times New Roman" w:hAnsi="Times New Roman"/>
                  <w:bCs/>
                  <w:sz w:val="18"/>
                  <w:szCs w:val="18"/>
                  <w:lang w:eastAsia="ru-RU"/>
                </w:rPr>
                <w:t>законом</w:t>
              </w:r>
            </w:hyperlink>
            <w:r>
              <w:rPr>
                <w:rFonts w:eastAsia="Times New Roman" w:cs="Times New Roman" w:ascii="Times New Roman" w:hAnsi="Times New Roman"/>
                <w:bCs/>
                <w:sz w:val="18"/>
                <w:szCs w:val="18"/>
                <w:lang w:eastAsia="ru-RU"/>
              </w:rPr>
              <w:t xml:space="preserve">  </w:t>
              <w:br/>
              <w:t>от 21 декабря 2001 г. № 178-ФЗ «О приватизации государственного и муниципального имущества».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firstLine="397" w:start="0" w:end="0"/>
              <w:jc w:val="both"/>
              <w:rPr>
                <w:sz w:val="18"/>
                <w:szCs w:val="18"/>
              </w:rPr>
            </w:pPr>
            <w:r>
              <w:rPr>
                <w:rFonts w:eastAsia="Times New Roman" w:cs="Times New Roman" w:ascii="Times New Roman" w:hAnsi="Times New Roman"/>
                <w:bCs/>
                <w:sz w:val="18"/>
                <w:szCs w:val="18"/>
                <w:lang w:eastAsia="ru-RU"/>
              </w:rPr>
              <w:t>Одновременно с Заявкой на участие в продаже Претенденты представляют следующие документы в форме электронных документов либо электронных образов документов (документов на бумажном носителе, преобразованных в электронно-цифровую форму путем сканирования с сохранением их реквизитов), заверенных электронной подписью.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firstLine="397" w:start="0" w:end="0"/>
              <w:jc w:val="both"/>
              <w:rPr>
                <w:sz w:val="18"/>
                <w:szCs w:val="18"/>
              </w:rPr>
            </w:pPr>
            <w:r>
              <w:rPr>
                <w:rFonts w:eastAsia="Times New Roman" w:cs="Times New Roman" w:ascii="Times New Roman" w:hAnsi="Times New Roman"/>
                <w:bCs/>
                <w:sz w:val="18"/>
                <w:szCs w:val="18"/>
                <w:lang w:eastAsia="ru-RU"/>
              </w:rPr>
              <w:t>Доверенность на лицо, имеющее право действовать от имени претендента, если заявка подается представителем претендента, оформленная в установленном порядке, или нотариально заверенная копия такой доверенности.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18"/>
                <w:szCs w:val="18"/>
              </w:rPr>
            </w:pPr>
            <w:r>
              <w:rPr>
                <w:rFonts w:eastAsia="Times New Roman" w:cs="Times New Roman" w:ascii="Times New Roman" w:hAnsi="Times New Roman"/>
                <w:bCs/>
                <w:sz w:val="18"/>
                <w:szCs w:val="18"/>
                <w:lang w:eastAsia="ru-RU"/>
              </w:rPr>
              <w:t>В случае,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firstLine="567" w:start="0" w:end="0"/>
              <w:jc w:val="both"/>
              <w:rPr>
                <w:sz w:val="18"/>
                <w:szCs w:val="18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18"/>
                <w:szCs w:val="18"/>
                <w:u w:val="single"/>
                <w:lang w:eastAsia="ru-RU"/>
              </w:rPr>
              <w:t>Юридические лица</w:t>
            </w:r>
            <w:r>
              <w:rPr>
                <w:rFonts w:eastAsia="Times New Roman" w:cs="Times New Roman" w:ascii="Times New Roman" w:hAnsi="Times New Roman"/>
                <w:b/>
                <w:bCs/>
                <w:sz w:val="18"/>
                <w:szCs w:val="18"/>
                <w:lang w:eastAsia="ru-RU"/>
              </w:rPr>
              <w:t>: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firstLine="567" w:start="0" w:end="0"/>
              <w:jc w:val="both"/>
              <w:rPr>
                <w:sz w:val="18"/>
                <w:szCs w:val="18"/>
              </w:rPr>
            </w:pPr>
            <w:r>
              <w:rPr>
                <w:rFonts w:eastAsia="Times New Roman" w:cs="Times New Roman" w:ascii="Times New Roman" w:hAnsi="Times New Roman"/>
                <w:bCs/>
                <w:sz w:val="18"/>
                <w:szCs w:val="18"/>
                <w:lang w:eastAsia="ru-RU"/>
              </w:rPr>
              <w:t>1) заверенные копии учредительных документов;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firstLine="567" w:start="0" w:end="0"/>
              <w:jc w:val="both"/>
              <w:rPr>
                <w:sz w:val="18"/>
                <w:szCs w:val="18"/>
              </w:rPr>
            </w:pPr>
            <w:r>
              <w:rPr>
                <w:rFonts w:eastAsia="Times New Roman" w:cs="Times New Roman" w:ascii="Times New Roman" w:hAnsi="Times New Roman"/>
                <w:bCs/>
                <w:sz w:val="18"/>
                <w:szCs w:val="18"/>
                <w:lang w:eastAsia="ru-RU"/>
              </w:rPr>
              <w:t>2) документ, который подтверждает полномочия руководителя юридического лица на осуществление действий от имени юридического лица (решение о назначении этого лица или об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firstLine="680" w:start="0" w:end="0"/>
              <w:jc w:val="both"/>
              <w:rPr>
                <w:sz w:val="18"/>
                <w:szCs w:val="18"/>
              </w:rPr>
            </w:pPr>
            <w:r>
              <w:rPr>
                <w:rFonts w:eastAsia="Times New Roman" w:cs="Times New Roman" w:ascii="Times New Roman" w:hAnsi="Times New Roman"/>
                <w:bCs/>
                <w:sz w:val="18"/>
                <w:szCs w:val="18"/>
                <w:lang w:eastAsia="ru-RU"/>
              </w:rPr>
              <w:t>-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и подписанное его руководителем письмо).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firstLine="680" w:start="0" w:end="0"/>
              <w:jc w:val="both"/>
              <w:rPr>
                <w:sz w:val="18"/>
                <w:szCs w:val="18"/>
              </w:rPr>
            </w:pPr>
            <w:r>
              <w:rPr>
                <w:rFonts w:eastAsia="Times New Roman" w:cs="Times New Roman" w:ascii="Times New Roman" w:hAnsi="Times New Roman"/>
                <w:bCs/>
                <w:sz w:val="18"/>
                <w:szCs w:val="18"/>
                <w:lang w:eastAsia="ru-RU"/>
              </w:rPr>
              <w:t>Физические лица, в том числе индивидуальные предприниматели предъявляют документ, удостоверяющий личность, или представляют копии всех его листов.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firstLine="680" w:start="0" w:end="0"/>
              <w:jc w:val="both"/>
              <w:rPr>
                <w:sz w:val="18"/>
                <w:szCs w:val="18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eastAsia="ru-RU"/>
              </w:rPr>
              <w:t>Документы, представляемые иностранными лицами, должны быть легализованы в установленном порядке и иметь нотариально заверенный перевод на русский язык.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firstLine="680" w:start="0" w:end="0"/>
              <w:jc w:val="both"/>
              <w:rPr>
                <w:sz w:val="18"/>
                <w:szCs w:val="18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eastAsia="ru-RU"/>
              </w:rPr>
              <w:t>Указанные документы (в том числе копии документов) в части их оформления, заверения и содержания должны соответствовать требованиям законодательства Российской Федерации и настоящего информационного сообщения.</w:t>
            </w:r>
          </w:p>
          <w:p>
            <w:pPr>
              <w:pStyle w:val="Normal"/>
              <w:spacing w:lineRule="auto" w:line="240" w:before="0" w:after="0"/>
              <w:ind w:firstLine="709"/>
              <w:jc w:val="both"/>
              <w:rPr>
                <w:sz w:val="18"/>
                <w:szCs w:val="18"/>
              </w:rPr>
            </w:pPr>
            <w:r>
              <w:rPr>
                <w:rFonts w:eastAsia="Times New Roman" w:cs="Times New Roman" w:ascii="Times New Roman" w:hAnsi="Times New Roman"/>
                <w:bCs/>
                <w:sz w:val="18"/>
                <w:szCs w:val="18"/>
                <w:lang w:eastAsia="ru-RU"/>
              </w:rPr>
              <w:t>Изменение заявки допускается только путем подачи претендентом новой заявки в сроки, установленные в сообщении о проведении продажи, при этом первоначальная заявка должна быть отозвана.</w:t>
            </w:r>
          </w:p>
          <w:p>
            <w:pPr>
              <w:pStyle w:val="Normal"/>
              <w:spacing w:lineRule="auto" w:line="240" w:before="0" w:after="0"/>
              <w:ind w:firstLine="600"/>
              <w:jc w:val="both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b/>
                <w:sz w:val="18"/>
                <w:szCs w:val="18"/>
                <w:u w:val="single"/>
              </w:rPr>
              <w:t>Физические лица: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18"/>
                <w:szCs w:val="18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eastAsia="ru-RU"/>
              </w:rPr>
              <w:t>представляют копии всех листов документа, удостоверяющего личность</w:t>
            </w:r>
            <w:r>
              <w:rPr>
                <w:rFonts w:cs="Times New Roman" w:ascii="Times New Roman" w:hAnsi="Times New Roman"/>
                <w:sz w:val="18"/>
                <w:szCs w:val="18"/>
              </w:rPr>
              <w:t>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В случае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Соблюдение претендентом указанных требований означает, что заявка и документы, представляемые одновременно с заявкой, поданы от имени претендента.</w:t>
            </w:r>
          </w:p>
          <w:p>
            <w:pPr>
              <w:pStyle w:val="Normal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pacing w:lineRule="auto" w:line="240" w:before="0" w:after="0"/>
              <w:ind w:firstLine="540"/>
              <w:jc w:val="both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Соблюдение претендентом указанных требований означает, что заявка и документы, представляемые одновременно с заявкой, поданы от имени претендента.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/>
              <w:suppressAutoHyphens w:val="true"/>
              <w:bidi w:val="0"/>
              <w:spacing w:lineRule="auto" w:line="240" w:before="0" w:after="0"/>
              <w:ind w:hanging="0" w:start="0" w:end="0"/>
              <w:contextualSpacing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13.</w:t>
            </w:r>
          </w:p>
        </w:tc>
        <w:tc>
          <w:tcPr>
            <w:tcW w:w="260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Основания для отказа претенденту участвовать в аукционе</w:t>
            </w:r>
          </w:p>
        </w:tc>
        <w:tc>
          <w:tcPr>
            <w:tcW w:w="69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BodyText2"/>
              <w:widowControl w:val="false"/>
              <w:spacing w:lineRule="auto" w:line="240" w:before="0" w:after="0"/>
              <w:ind w:firstLine="600"/>
              <w:jc w:val="both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Претендент не допускается к участию в аукционе по следующим основаниям:</w:t>
            </w:r>
          </w:p>
          <w:p>
            <w:pPr>
              <w:pStyle w:val="ConsPlusNormal1"/>
              <w:widowControl/>
              <w:ind w:firstLine="709"/>
              <w:jc w:val="both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- представленные документы не подтверждают право претендента быть покупателем в соответствии с законодательством Российской Федерации;</w:t>
            </w:r>
          </w:p>
          <w:p>
            <w:pPr>
              <w:pStyle w:val="ConsPlusNormal1"/>
              <w:widowControl/>
              <w:ind w:firstLine="709"/>
              <w:jc w:val="both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-представлены не все документы в соответствии с перечнем, указанным в информационном сообщении (за исключением предложений о цене государственного или муниципального имущества на аукционе), или оформление указанных документов не соответствует законодательству Российской Федерации;</w:t>
            </w:r>
          </w:p>
          <w:p>
            <w:pPr>
              <w:pStyle w:val="ConsPlusNormal1"/>
              <w:widowControl/>
              <w:ind w:firstLine="709"/>
              <w:jc w:val="both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- заявка подана лицом, не уполномоченным претендентом на осуществление таких действий;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- не подтверждено поступление в установленный срок задатка на счета, указанные в информационном сообщении.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/>
              <w:suppressAutoHyphens w:val="true"/>
              <w:bidi w:val="0"/>
              <w:spacing w:lineRule="auto" w:line="240" w:before="0" w:after="0"/>
              <w:ind w:hanging="0" w:start="0" w:end="0"/>
              <w:contextualSpacing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14.</w:t>
            </w:r>
          </w:p>
        </w:tc>
        <w:tc>
          <w:tcPr>
            <w:tcW w:w="260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Срок заключения договора купли-продажи имущества</w:t>
            </w:r>
          </w:p>
        </w:tc>
        <w:tc>
          <w:tcPr>
            <w:tcW w:w="69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18"/>
                <w:szCs w:val="18"/>
              </w:rPr>
              <w:t xml:space="preserve">По результатам торгов продавец и победитель продажи посредством публичного предложения (покупатель) в </w:t>
            </w:r>
            <w:r>
              <w:rPr>
                <w:rFonts w:cs="Times New Roman" w:ascii="Times New Roman" w:hAnsi="Times New Roman"/>
                <w:b/>
                <w:sz w:val="18"/>
                <w:szCs w:val="18"/>
              </w:rPr>
              <w:t>течение 5 рабочих</w:t>
            </w:r>
            <w:r>
              <w:rPr>
                <w:rFonts w:cs="Times New Roman" w:ascii="Times New Roman" w:hAnsi="Times New Roman"/>
                <w:sz w:val="18"/>
                <w:szCs w:val="18"/>
              </w:rPr>
              <w:t xml:space="preserve"> дней со дня подведения итогов аукциона заключают в соответствии с </w:t>
            </w:r>
            <w:hyperlink r:id="rId5">
              <w:r>
                <w:rPr>
                  <w:rStyle w:val="Style7"/>
                  <w:rFonts w:ascii="Times New Roman" w:hAnsi="Times New Roman"/>
                  <w:sz w:val="18"/>
                  <w:szCs w:val="18"/>
                </w:rPr>
                <w:t>законодательством</w:t>
              </w:r>
            </w:hyperlink>
            <w:r>
              <w:rPr>
                <w:rFonts w:cs="Times New Roman" w:ascii="Times New Roman" w:hAnsi="Times New Roman"/>
                <w:sz w:val="18"/>
                <w:szCs w:val="18"/>
              </w:rPr>
              <w:t xml:space="preserve"> Российской Федерации договор купли-продажи имущества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/>
              <w:suppressAutoHyphens w:val="true"/>
              <w:bidi w:val="0"/>
              <w:spacing w:lineRule="auto" w:line="240" w:before="0" w:after="0"/>
              <w:ind w:hanging="0" w:start="0" w:end="0"/>
              <w:contextualSpacing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</w:t>
            </w:r>
          </w:p>
        </w:tc>
        <w:tc>
          <w:tcPr>
            <w:tcW w:w="260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Порядок ознакомления покупателей с иной информацией, условиями договора купли-продажи имущества</w:t>
            </w:r>
          </w:p>
        </w:tc>
        <w:tc>
          <w:tcPr>
            <w:tcW w:w="69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eastAsia="ru-RU"/>
              </w:rPr>
              <w:t xml:space="preserve">Информация о проведении продаж посредством публичного предложения имущества размещается на официальном сайте Российской Федерации в сети «Интернет» </w:t>
            </w:r>
            <w:hyperlink r:id="rId6">
              <w:r>
                <w:rPr>
                  <w:rStyle w:val="Style7"/>
                  <w:rFonts w:eastAsia="Times New Roman" w:cs="Times New Roman" w:ascii="Times New Roman" w:hAnsi="Times New Roman"/>
                  <w:color w:val="0000FF"/>
                  <w:sz w:val="18"/>
                  <w:szCs w:val="18"/>
                  <w:u w:val="single"/>
                  <w:lang w:eastAsia="ru-RU"/>
                </w:rPr>
                <w:t>www.torgi.gov.ru</w:t>
              </w:r>
            </w:hyperlink>
            <w:r>
              <w:rPr>
                <w:rFonts w:eastAsia="Times New Roman" w:cs="Times New Roman" w:ascii="Times New Roman" w:hAnsi="Times New Roman"/>
                <w:sz w:val="18"/>
                <w:szCs w:val="18"/>
                <w:lang w:eastAsia="ru-RU"/>
              </w:rPr>
              <w:t xml:space="preserve">, на сайте электронной площадки </w:t>
            </w:r>
            <w:hyperlink r:id="rId7">
              <w:r>
                <w:rPr>
                  <w:rStyle w:val="Style7"/>
                  <w:rFonts w:eastAsia="Times New Roman" w:cs="Times New Roman" w:ascii="Times New Roman" w:hAnsi="Times New Roman"/>
                  <w:color w:val="0000FF"/>
                  <w:sz w:val="18"/>
                  <w:szCs w:val="18"/>
                  <w:u w:val="single"/>
                  <w:lang w:eastAsia="ru-RU"/>
                </w:rPr>
                <w:t>www.roseltorg.ru</w:t>
              </w:r>
            </w:hyperlink>
            <w:r>
              <w:rPr>
                <w:rFonts w:eastAsia="Times New Roman" w:cs="Times New Roman" w:ascii="Times New Roman" w:hAnsi="Times New Roman"/>
                <w:sz w:val="18"/>
                <w:szCs w:val="18"/>
                <w:lang w:eastAsia="ru-RU"/>
              </w:rPr>
              <w:t>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18"/>
                <w:szCs w:val="18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eastAsia="ru-RU"/>
              </w:rPr>
              <w:t xml:space="preserve">С дополнительной информацией об участии в торгах,  по телефону: </w:t>
            </w:r>
            <w:r>
              <w:rPr>
                <w:rFonts w:eastAsia="Times New Roman" w:cs="TimesNewRomanPSMT" w:ascii="TimesNewRomanPSMT" w:hAnsi="TimesNewRomanPSMT"/>
                <w:b/>
                <w:sz w:val="18"/>
                <w:szCs w:val="18"/>
                <w:lang w:eastAsia="ru-RU"/>
              </w:rPr>
              <w:t xml:space="preserve"> +7(4212)34-04-86.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18"/>
                <w:szCs w:val="18"/>
              </w:rPr>
            </w:pPr>
            <w:r>
              <w:rPr>
                <w:rFonts w:eastAsia="Calibri" w:cs="TimesNewRomanPSMT" w:ascii="Times New Roman" w:hAnsi="Times New Roman"/>
                <w:b/>
                <w:color w:val="000000"/>
                <w:kern w:val="0"/>
                <w:sz w:val="18"/>
                <w:szCs w:val="18"/>
                <w:shd w:fill="auto" w:val="clear"/>
                <w:lang w:val="ru-RU" w:eastAsia="en-US" w:bidi="ar-SA"/>
              </w:rPr>
              <w:t>Контактное лицо Зыков Антон Петрович 8-14-178-51-35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/>
              <w:suppressAutoHyphens w:val="true"/>
              <w:bidi w:val="0"/>
              <w:spacing w:lineRule="auto" w:line="240" w:before="0" w:after="0"/>
              <w:ind w:hanging="0" w:start="0" w:end="0"/>
              <w:contextualSpacing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16.</w:t>
            </w:r>
          </w:p>
        </w:tc>
        <w:tc>
          <w:tcPr>
            <w:tcW w:w="260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Ограничения участия отдельных категорий физических лиц и юридических лиц в приватизации имущества</w:t>
            </w:r>
          </w:p>
        </w:tc>
        <w:tc>
          <w:tcPr>
            <w:tcW w:w="69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sz w:val="18"/>
                <w:szCs w:val="18"/>
              </w:rPr>
            </w:pPr>
            <w:r>
              <w:rPr>
                <w:rFonts w:eastAsia="Times New Roman" w:cs="TimesNewRoman" w:ascii="TimesNewRoman" w:hAnsi="TimesNewRoman"/>
                <w:color w:val="000000"/>
                <w:sz w:val="18"/>
                <w:szCs w:val="18"/>
                <w:lang w:eastAsia="ru-RU"/>
              </w:rPr>
              <w:t xml:space="preserve">Лица, отвечающие признакам покупателя в соответствии с Федеральным законом </w:t>
              <w:br/>
              <w:t>от 21 декабря 2001 г. № 178-ФЗ  и желающие приобрести федеральное имущество, выставляемое на продажу посредством публичного предложения, своевременно подавшие Заявку, представившие надлежащим образом оформленные документы и обеспечившие поступление задатка на счет, указанный в Информационном сообщении.</w:t>
            </w:r>
          </w:p>
          <w:p>
            <w:pPr>
              <w:pStyle w:val="Normal"/>
              <w:spacing w:lineRule="auto" w:line="240" w:before="0" w:after="0"/>
              <w:ind w:firstLine="720"/>
              <w:jc w:val="both"/>
              <w:rPr>
                <w:sz w:val="18"/>
                <w:szCs w:val="1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 xml:space="preserve">Покупателями государственного имущества могут быть любые физические и юридические лица, за исключением </w:t>
            </w:r>
            <w:r>
              <w:rPr>
                <w:rFonts w:eastAsia="Times New Roman" w:cs="Times New Roman" w:ascii="Times New Roman" w:hAnsi="Times New Roman"/>
                <w:sz w:val="18"/>
                <w:szCs w:val="18"/>
                <w:lang w:eastAsia="ru-RU"/>
              </w:rPr>
              <w:t>случаев ограничения участия лиц, предусмотренных статьей 5 Федерального закона от 21 декабря 2001 г. № 178-ФЗ</w:t>
            </w: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: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18"/>
                <w:szCs w:val="1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государственных и муниципальных унитарных предприятий, государственных и муниципальных учреждений;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18"/>
                <w:szCs w:val="1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юридических лиц, в уставном капитале которых доля Российской Федерации, субъектов Российской Федерации и муниципальных образований превышает 25 процентов, кроме случаев, предусмотренных статьей 25 Федерального закона;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18"/>
                <w:szCs w:val="1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 (далее - офшорные компании);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18"/>
                <w:szCs w:val="18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18"/>
                <w:szCs w:val="18"/>
                <w:lang w:eastAsia="ru-RU"/>
              </w:rPr>
              <w:t>юридических лиц, в отношении которых офшорной компанией или группой лиц, в которую входит офшорная компания, осуществляется контроль.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/>
              <w:suppressAutoHyphens w:val="true"/>
              <w:bidi w:val="0"/>
              <w:spacing w:lineRule="auto" w:line="240" w:before="0" w:after="0"/>
              <w:ind w:hanging="0" w:start="0" w:end="0"/>
              <w:contextualSpacing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17.</w:t>
            </w:r>
          </w:p>
        </w:tc>
        <w:tc>
          <w:tcPr>
            <w:tcW w:w="260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Порядок определения победителей при проведении аукциона</w:t>
            </w:r>
          </w:p>
        </w:tc>
        <w:tc>
          <w:tcPr>
            <w:tcW w:w="69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widowControl/>
              <w:suppressAutoHyphens w:val="true"/>
              <w:bidi w:val="0"/>
              <w:spacing w:lineRule="auto" w:line="240" w:before="0" w:after="0"/>
              <w:ind w:firstLine="624" w:start="0" w:end="0"/>
              <w:jc w:val="both"/>
              <w:rPr>
                <w:sz w:val="18"/>
                <w:szCs w:val="18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eastAsia="ru-RU"/>
              </w:rPr>
              <w:t>Процедура продажи имущества проводится в день и во время, указанное в информационном сообщении о продаже имущества посредством публичного предложения, путем последовательного понижения цены первоначального предложения (цена имущества, указанная в информационном сообщении) на величину, равную величине «шага понижения», но не ниже цены отсечения.</w:t>
            </w:r>
          </w:p>
          <w:p>
            <w:pPr>
              <w:pStyle w:val="Normal"/>
              <w:widowControl/>
              <w:suppressAutoHyphens w:val="true"/>
              <w:bidi w:val="0"/>
              <w:spacing w:lineRule="auto" w:line="240" w:before="0" w:after="0"/>
              <w:ind w:firstLine="567" w:start="0" w:end="0"/>
              <w:jc w:val="both"/>
              <w:rPr>
                <w:sz w:val="18"/>
                <w:szCs w:val="18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eastAsia="ru-RU"/>
              </w:rPr>
              <w:t>«Шаг понижения» устанавливается Продавцом в фиксированной сумме, составляющей не более 10 процентов цены первоначального предложения, и не изменяется в течение всей процедуры продажи имущества посредством публичного предложения.</w:t>
            </w:r>
          </w:p>
          <w:p>
            <w:pPr>
              <w:pStyle w:val="Normal"/>
              <w:widowControl/>
              <w:suppressAutoHyphens w:val="true"/>
              <w:bidi w:val="0"/>
              <w:spacing w:lineRule="auto" w:line="240" w:before="0" w:after="0"/>
              <w:ind w:firstLine="567" w:start="0" w:end="0"/>
              <w:jc w:val="both"/>
              <w:rPr>
                <w:sz w:val="18"/>
                <w:szCs w:val="18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eastAsia="ru-RU"/>
              </w:rPr>
              <w:t>Время приема предложений участников о цене первоначального предложения составляет один час от времени начала проведения процедуры продажи имущества посредством публичного предложения и 10 минут на представление предложений о цене имущества на каждом «шаге понижения».</w:t>
            </w:r>
          </w:p>
          <w:p>
            <w:pPr>
              <w:pStyle w:val="Normal"/>
              <w:spacing w:lineRule="auto" w:line="240" w:before="0" w:after="0"/>
              <w:ind w:firstLine="851"/>
              <w:jc w:val="both"/>
              <w:rPr>
                <w:sz w:val="18"/>
                <w:szCs w:val="18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eastAsia="ru-RU"/>
              </w:rPr>
              <w:t>Победителем признается участник, который подтвердил цену первоначального предложения или цену предложения, сложившуюся на соответствующем «шаге понижения», при отсутствии предложений других участников.</w:t>
            </w:r>
          </w:p>
          <w:p>
            <w:pPr>
              <w:pStyle w:val="Normal"/>
              <w:spacing w:lineRule="auto" w:line="240" w:before="0" w:after="0"/>
              <w:ind w:firstLine="851"/>
              <w:jc w:val="both"/>
              <w:rPr>
                <w:sz w:val="18"/>
                <w:szCs w:val="18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eastAsia="ru-RU"/>
              </w:rPr>
              <w:t xml:space="preserve">В случае если несколько участников подтверждают цену первоначального предложения или цену предложения, сложившуюся на одном из «шагов понижения», со всеми участниками проводится аукцион в порядке, установленном разделом II Положения об организации и проведении продажи государственного или муниципального имущества в электронной форме (постановление Правительства Российской Федерации </w:t>
              <w:br/>
              <w:t>от 27 августа 2012 г. № 860 «Об организации и проведении продажи государственного или муниципального имущества в электронной форме»). Начальной ценой имущества на аукционе является соответственно цена первоначального предложения или цена предложения, сложившаяся на данном «шаге понижения». Время приема предложений участников о цене имущества составляет 10 минут. «Шаг аукциона» устанавливается Продавцом в фиксированной сумме, составляющей не более 50 процентов «шага понижения», и не изменяется в течение всей процедуры продажи имущества посредством публичного предложения.</w:t>
            </w:r>
          </w:p>
          <w:p>
            <w:pPr>
              <w:pStyle w:val="Normal"/>
              <w:spacing w:lineRule="auto" w:line="240" w:before="0" w:after="0"/>
              <w:ind w:firstLine="851"/>
              <w:jc w:val="both"/>
              <w:rPr>
                <w:sz w:val="18"/>
                <w:szCs w:val="18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eastAsia="ru-RU"/>
              </w:rPr>
              <w:t>В случае если участники не заявляют предложения о цене, превышающей начальную цену имущества, победителем признается участник, который первым подтвердил начальную цену имущества.</w:t>
            </w:r>
          </w:p>
          <w:p>
            <w:pPr>
              <w:pStyle w:val="Normal"/>
              <w:spacing w:lineRule="auto" w:line="240" w:before="0" w:after="0"/>
              <w:ind w:firstLine="851"/>
              <w:jc w:val="both"/>
              <w:rPr>
                <w:sz w:val="18"/>
                <w:szCs w:val="18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eastAsia="ru-RU"/>
              </w:rPr>
              <w:t>Ход проведения процедуры продажи имущества посредством публичного предложения фиксируется Организатором в электронном журнале, который направляется Продавцу в течение одного часа со времени завершения приема предложений о цене имущества для подведения итогов продажи имущества посредством публичного предложения путем оформления протокола об итогах такой продажи.</w:t>
            </w:r>
          </w:p>
          <w:p>
            <w:pPr>
              <w:pStyle w:val="Normal"/>
              <w:spacing w:lineRule="auto" w:line="240" w:before="0" w:after="0"/>
              <w:ind w:firstLine="851"/>
              <w:jc w:val="both"/>
              <w:rPr>
                <w:sz w:val="18"/>
                <w:szCs w:val="18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eastAsia="ru-RU"/>
              </w:rPr>
              <w:t>Протокол об итогах продажи имущества посредством публичного предложения, содержащий цену имущества, предложенную победителем, и удостоверяющий право победителя на заключение договора купли-продажи имущества, подписывается Продавцом в течение одного часа со времени получения от Организатора электронного журнала.</w:t>
            </w:r>
          </w:p>
          <w:p>
            <w:pPr>
              <w:pStyle w:val="Normal"/>
              <w:spacing w:lineRule="auto" w:line="240" w:before="0" w:after="0"/>
              <w:ind w:firstLine="851"/>
              <w:jc w:val="both"/>
              <w:rPr>
                <w:sz w:val="18"/>
                <w:szCs w:val="18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eastAsia="ru-RU"/>
              </w:rPr>
              <w:t>Процедура продажи имущества посредством публичного предложения считается завершенной со времени подписания Продавцом протокола об итогах такой продажи.</w:t>
            </w:r>
          </w:p>
        </w:tc>
      </w:tr>
      <w:tr>
        <w:trPr/>
        <w:tc>
          <w:tcPr>
            <w:tcW w:w="624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/>
              <w:suppressAutoHyphens w:val="true"/>
              <w:bidi w:val="0"/>
              <w:spacing w:lineRule="auto" w:line="240" w:before="0" w:after="0"/>
              <w:ind w:hanging="0" w:start="0" w:end="0"/>
              <w:contextualSpacing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18.</w:t>
            </w:r>
          </w:p>
        </w:tc>
        <w:tc>
          <w:tcPr>
            <w:tcW w:w="260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Сведения обо всех предыдущих торгах по продаже имущества.</w:t>
            </w:r>
          </w:p>
        </w:tc>
        <w:tc>
          <w:tcPr>
            <w:tcW w:w="6972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Продажа путем проведения аукциона.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 xml:space="preserve">Извещение о продаже имущества № </w:t>
            </w:r>
            <w:r>
              <w:rPr>
                <w:rFonts w:eastAsia="Calibri" w:cs="Times New Roman" w:ascii="Times New Roman" w:hAnsi="Times New Roman"/>
                <w:sz w:val="18"/>
                <w:szCs w:val="18"/>
              </w:rPr>
              <w:t>2200005479000000041</w:t>
            </w:r>
            <w:r>
              <w:rPr>
                <w:rFonts w:eastAsia="Calibri" w:cs="Times New Roman" w:ascii="Times New Roman" w:hAnsi="Times New Roman"/>
                <w:sz w:val="18"/>
                <w:szCs w:val="18"/>
              </w:rPr>
              <w:t>6</w:t>
            </w:r>
            <w:r>
              <w:rPr>
                <w:rFonts w:eastAsia="Calibri" w:cs="Times New Roman"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cs="Times New Roman" w:ascii="Times New Roman" w:hAnsi="Times New Roman"/>
                <w:sz w:val="18"/>
                <w:szCs w:val="18"/>
              </w:rPr>
              <w:t xml:space="preserve">от </w:t>
            </w:r>
            <w:r>
              <w:rPr>
                <w:rFonts w:eastAsia="Calibri" w:cs="Times New Roman" w:ascii="Times New Roman" w:hAnsi="Times New Roman"/>
                <w:color w:val="000000"/>
                <w:kern w:val="0"/>
                <w:sz w:val="18"/>
                <w:szCs w:val="18"/>
                <w:lang w:val="ru-RU" w:eastAsia="en-US" w:bidi="ar-SA"/>
              </w:rPr>
              <w:t>07</w:t>
            </w:r>
            <w:r>
              <w:rPr>
                <w:rFonts w:cs="Times New Roman" w:ascii="Times New Roman" w:hAnsi="Times New Roman"/>
                <w:sz w:val="18"/>
                <w:szCs w:val="18"/>
              </w:rPr>
              <w:t>.</w:t>
            </w:r>
            <w:r>
              <w:rPr>
                <w:rFonts w:eastAsia="Calibri" w:cs="Times New Roman" w:ascii="Times New Roman" w:hAnsi="Times New Roman"/>
                <w:color w:val="000000"/>
                <w:kern w:val="0"/>
                <w:sz w:val="18"/>
                <w:szCs w:val="18"/>
                <w:lang w:val="ru-RU" w:eastAsia="en-US" w:bidi="ar-SA"/>
              </w:rPr>
              <w:t>07</w:t>
            </w:r>
            <w:r>
              <w:rPr>
                <w:rFonts w:cs="Times New Roman" w:ascii="Times New Roman" w:hAnsi="Times New Roman"/>
                <w:sz w:val="18"/>
                <w:szCs w:val="18"/>
              </w:rPr>
              <w:t>.2026 (аукцион признан не состоявшимся по основаниям отсутствия заявок на участие).</w:t>
            </w:r>
          </w:p>
        </w:tc>
      </w:tr>
    </w:tbl>
    <w:p>
      <w:pPr>
        <w:pStyle w:val="Normal"/>
        <w:rPr>
          <w:rFonts w:ascii="Times New Roman" w:hAnsi="Times New Roman" w:cs="Times New Roman"/>
          <w:sz w:val="18"/>
          <w:szCs w:val="18"/>
        </w:rPr>
      </w:pPr>
      <w:r>
        <w:rPr>
          <w:rFonts w:cs="Times New Roman" w:ascii="Times New Roman" w:hAnsi="Times New Roman"/>
          <w:sz w:val="18"/>
          <w:szCs w:val="18"/>
        </w:rPr>
      </w:r>
    </w:p>
    <w:p>
      <w:pPr>
        <w:pStyle w:val="Normal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Normal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Normal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jc w:val="end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jc w:val="end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jc w:val="end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  <w:r>
        <w:br w:type="page"/>
      </w:r>
    </w:p>
    <w:p>
      <w:pPr>
        <w:pStyle w:val="Normal"/>
        <w:spacing w:before="0" w:after="200"/>
        <w:jc w:val="end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Приложение № 1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Перечень высвобождаемого движимого военного имущества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sz w:val="24"/>
          <w:szCs w:val="24"/>
        </w:rPr>
      </w:r>
    </w:p>
    <w:tbl>
      <w:tblPr>
        <w:tblW w:w="9775" w:type="dxa"/>
        <w:jc w:val="start"/>
        <w:tblInd w:w="79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val="04a0" w:noHBand="0" w:noVBand="1" w:firstColumn="1" w:lastRow="0" w:lastColumn="0" w:firstRow="1"/>
      </w:tblPr>
      <w:tblGrid>
        <w:gridCol w:w="637"/>
        <w:gridCol w:w="4350"/>
        <w:gridCol w:w="921"/>
        <w:gridCol w:w="1173"/>
        <w:gridCol w:w="2694"/>
      </w:tblGrid>
      <w:tr>
        <w:trPr>
          <w:tblHeader w:val="true"/>
          <w:trHeight w:val="1464" w:hRule="atLeast"/>
        </w:trPr>
        <w:tc>
          <w:tcPr>
            <w:tcW w:w="63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 xml:space="preserve">№ </w:t>
            </w:r>
            <w:r>
              <w:rPr/>
              <w:t>п/п</w:t>
            </w:r>
          </w:p>
        </w:tc>
        <w:tc>
          <w:tcPr>
            <w:tcW w:w="4350" w:type="dxa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Наименование имущества</w:t>
            </w:r>
          </w:p>
        </w:tc>
        <w:tc>
          <w:tcPr>
            <w:tcW w:w="921" w:type="dxa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Ед. изм.</w:t>
            </w:r>
          </w:p>
        </w:tc>
        <w:tc>
          <w:tcPr>
            <w:tcW w:w="1173" w:type="dxa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Кол-во</w:t>
            </w:r>
          </w:p>
        </w:tc>
        <w:tc>
          <w:tcPr>
            <w:tcW w:w="2694" w:type="dxa"/>
            <w:tcBorders>
              <w:top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Качественное состояние (техническое состояние, категория)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1</w:t>
            </w:r>
          </w:p>
        </w:tc>
        <w:tc>
          <w:tcPr>
            <w:tcW w:w="4350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Телефонный аппарат ТА-21220</w:t>
            </w:r>
          </w:p>
          <w:p>
            <w:pPr>
              <w:pStyle w:val="BodyText"/>
              <w:rPr/>
            </w:pPr>
            <w:r>
              <w:rPr/>
            </w:r>
          </w:p>
        </w:tc>
        <w:tc>
          <w:tcPr>
            <w:tcW w:w="921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шт.</w:t>
            </w:r>
          </w:p>
          <w:p>
            <w:pPr>
              <w:pStyle w:val="BodyText"/>
              <w:rPr/>
            </w:pPr>
            <w:r>
              <w:rPr/>
            </w:r>
          </w:p>
        </w:tc>
        <w:tc>
          <w:tcPr>
            <w:tcW w:w="1173" w:type="dxa"/>
            <w:tcBorders>
              <w:bottom w:val="single" w:sz="4" w:space="0" w:color="000000"/>
              <w:end w:val="single" w:sz="4" w:space="0" w:color="000000"/>
            </w:tcBorders>
            <w:shd w:color="auto" w:fill="auto" w:val="clear"/>
            <w:vAlign w:val="center"/>
          </w:tcPr>
          <w:p>
            <w:pPr>
              <w:pStyle w:val="BodyText"/>
              <w:rPr/>
            </w:pPr>
            <w:r>
              <w:rPr/>
              <w:t>2</w:t>
            </w:r>
          </w:p>
          <w:p>
            <w:pPr>
              <w:pStyle w:val="BodyText"/>
              <w:rPr/>
            </w:pPr>
            <w:r>
              <w:rPr/>
            </w:r>
          </w:p>
        </w:tc>
        <w:tc>
          <w:tcPr>
            <w:tcW w:w="2694" w:type="dxa"/>
            <w:tcBorders>
              <w:bottom w:val="single" w:sz="4" w:space="0" w:color="000000"/>
              <w:end w:val="single" w:sz="4" w:space="0" w:color="000000"/>
            </w:tcBorders>
            <w:shd w:color="000000" w:fill="FFFFFF" w:val="clear"/>
            <w:vAlign w:val="center"/>
          </w:tcPr>
          <w:p>
            <w:pPr>
              <w:pStyle w:val="BodyText"/>
              <w:rPr/>
            </w:pPr>
            <w:r>
              <w:rPr/>
              <w:t>исправно</w:t>
            </w:r>
          </w:p>
          <w:p>
            <w:pPr>
              <w:pStyle w:val="BodyText"/>
              <w:rPr/>
            </w:pPr>
            <w:r>
              <w:rPr/>
            </w:r>
          </w:p>
        </w:tc>
      </w:tr>
    </w:tbl>
    <w:p>
      <w:pPr>
        <w:pStyle w:val="Normal"/>
        <w:jc w:val="both"/>
        <w:rPr>
          <w:rFonts w:ascii="Tinos" w:hAnsi="Tinos"/>
        </w:rPr>
      </w:pPr>
      <w:r>
        <w:rPr>
          <w:rFonts w:ascii="Tinos" w:hAnsi="Tinos"/>
        </w:rPr>
      </w:r>
    </w:p>
    <w:p>
      <w:pPr>
        <w:pStyle w:val="Normal"/>
        <w:jc w:val="both"/>
        <w:rPr/>
      </w:pPr>
      <w:r>
        <w:rPr>
          <w:rFonts w:ascii="Tinos" w:hAnsi="Tinos"/>
        </w:rPr>
        <w:t xml:space="preserve">Место нахождения имущества: </w:t>
      </w:r>
      <w:r>
        <w:rPr>
          <w:rFonts w:eastAsia="Calibri" w:ascii="Tinos" w:hAnsi="Tinos"/>
          <w:b w:val="false"/>
          <w:i w:val="false"/>
          <w:strike w:val="false"/>
          <w:dstrike w:val="false"/>
          <w:outline w:val="false"/>
          <w:shadow w:val="false"/>
          <w:color w:val="auto"/>
          <w:kern w:val="0"/>
          <w:u w:val="none"/>
          <w:em w:val="none"/>
          <w:lang w:val="ru-RU" w:eastAsia="en-US" w:bidi="ar-SA"/>
        </w:rPr>
        <w:t xml:space="preserve"> </w:t>
      </w:r>
      <w:r>
        <w:rPr>
          <w:rFonts w:eastAsia="Calibri" w:ascii="Tinos" w:hAnsi="Tinos"/>
          <w:b w:val="false"/>
          <w:i w:val="false"/>
          <w:strike w:val="false"/>
          <w:dstrike w:val="false"/>
          <w:outline w:val="false"/>
          <w:shadow w:val="false"/>
          <w:color w:val="000000"/>
          <w:kern w:val="0"/>
          <w:u w:val="none"/>
          <w:em w:val="none"/>
          <w:lang w:val="ru-RU" w:eastAsia="en-US" w:bidi="ar-SA"/>
        </w:rPr>
        <w:t>В</w:t>
      </w:r>
      <w:r>
        <w:rPr>
          <w:rFonts w:eastAsia="Calibri" w:ascii="Tinos" w:hAnsi="Tinos"/>
          <w:b w:val="false"/>
          <w:i w:val="false"/>
          <w:strike w:val="false"/>
          <w:dstrike w:val="false"/>
          <w:outline w:val="false"/>
          <w:shadow w:val="false"/>
          <w:color w:val="auto"/>
          <w:kern w:val="0"/>
          <w:u w:val="none"/>
          <w:em w:val="none"/>
          <w:lang w:val="ru-RU" w:eastAsia="en-US" w:bidi="ar-SA"/>
        </w:rPr>
        <w:t>ойсковая часть 3524, 680014, г. Хабаровск ул. Горького 71б</w:t>
      </w:r>
    </w:p>
    <w:p>
      <w:pPr>
        <w:pStyle w:val="HTMLPreformatted"/>
        <w:jc w:val="end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end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end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end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end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end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end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end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  <w:r>
        <w:br w:type="page"/>
      </w:r>
    </w:p>
    <w:p>
      <w:pPr>
        <w:pStyle w:val="HTMLPreformatted"/>
        <w:spacing w:before="0" w:after="0"/>
        <w:jc w:val="end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Приложение № 2</w:t>
      </w:r>
    </w:p>
    <w:p>
      <w:pPr>
        <w:pStyle w:val="Normal"/>
        <w:spacing w:lineRule="auto" w:line="240" w:before="0" w:after="0"/>
        <w:jc w:val="end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end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576" w:leader="none"/>
        </w:tabs>
        <w:spacing w:lineRule="auto" w:line="240" w:before="0" w:after="0"/>
        <w:ind w:hanging="576" w:start="576"/>
        <w:contextualSpacing/>
        <w:jc w:val="center"/>
        <w:outlineLvl w:val="1"/>
        <w:rPr>
          <w:rFonts w:ascii="Arial" w:hAnsi="Arial" w:eastAsia="Times New Roman" w:cs="Times New Roman"/>
          <w:color w:val="000000"/>
          <w:sz w:val="24"/>
          <w:szCs w:val="24"/>
          <w:lang w:eastAsia="ru-RU"/>
        </w:rPr>
      </w:pPr>
      <w:bookmarkStart w:id="2" w:name="_Toc222021414"/>
      <w:r>
        <w:rPr>
          <w:rFonts w:eastAsia="Times New Roman" w:cs="Times New Roman" w:ascii="Arial" w:hAnsi="Arial"/>
          <w:b/>
          <w:iCs/>
          <w:caps/>
          <w:color w:val="000000"/>
          <w:sz w:val="24"/>
          <w:szCs w:val="24"/>
          <w:lang w:eastAsia="ru-RU"/>
        </w:rPr>
        <w:t>ФОРМА ЗАЯВКИ НА УЧАСТИЕ В</w:t>
      </w:r>
      <w:bookmarkEnd w:id="2"/>
      <w:r>
        <w:rPr>
          <w:rFonts w:eastAsia="Times New Roman" w:cs="Times New Roman" w:ascii="Arial" w:hAnsi="Arial"/>
          <w:b/>
          <w:iCs/>
          <w:caps/>
          <w:color w:val="000000"/>
          <w:sz w:val="24"/>
          <w:szCs w:val="24"/>
          <w:lang w:eastAsia="ru-RU"/>
        </w:rPr>
        <w:t xml:space="preserve"> торгах</w:t>
      </w:r>
    </w:p>
    <w:p>
      <w:pPr>
        <w:pStyle w:val="Normal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(для физического лица)</w:t>
      </w:r>
    </w:p>
    <w:p>
      <w:pPr>
        <w:pStyle w:val="Normal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 xml:space="preserve"> </w:t>
      </w:r>
    </w:p>
    <w:p>
      <w:pPr>
        <w:pStyle w:val="Normal"/>
        <w:widowControl w:val="false"/>
        <w:spacing w:lineRule="auto" w:line="240" w:before="0" w:after="0"/>
        <w:contextualSpacing/>
        <w:rPr>
          <w:rFonts w:ascii="Times New Roman" w:hAnsi="Times New Roman" w:eastAsia="Times New Roman" w:cs="Times New Roman"/>
          <w:color w:val="000000"/>
          <w:sz w:val="24"/>
          <w:vertAlign w:val="superscript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1. Изучив условия документации в лице ________________________________________________</w:t>
      </w:r>
    </w:p>
    <w:p>
      <w:pPr>
        <w:pStyle w:val="Normal"/>
        <w:widowControl w:val="false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color w:val="000000"/>
          <w:sz w:val="24"/>
          <w:vertAlign w:val="superscript"/>
        </w:rPr>
      </w:pP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>(Ф.И.О.)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сообщаю о согласии принять участие в торгах посредством публичного предложения и в случае признания победителем, заключить с Продавцом договор купли-продажи высвобождаемого движимого военного имущества. 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2. Сообщаю о себе:</w:t>
      </w:r>
    </w:p>
    <w:p>
      <w:pPr>
        <w:pStyle w:val="Normal"/>
        <w:spacing w:lineRule="auto" w:line="36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Адрес места регистрации: 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Почтовый адрес: 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Телефон___________________________________________________________________________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Факс______________________________________________________________________________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Электронный адрес__________________________________________________________________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Паспорт___________________________________________________________________________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ИНН 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Фамилии лиц, уполномоченных действовать от имени  претендента (доверенность прикладывается)</w:t>
      </w:r>
      <w:r>
        <w:rPr>
          <w:rFonts w:eastAsia="Times New Roman" w:cs="Times New Roman" w:ascii="Courier New" w:hAnsi="Courier New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4"/>
        </w:rPr>
        <w:t>___________________________________________________________________________________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3. В случае объявления меня победителем, обязуюсь подписать договор в течение 5 дней.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  <w:vertAlign w:val="superscript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_______________________                ____________________________</w:t>
      </w: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 xml:space="preserve">                                        </w:t>
        <w:tab/>
        <w:t xml:space="preserve">                               (подпись)</w:t>
      </w:r>
      <w:r>
        <w:rPr>
          <w:rFonts w:eastAsia="Times New Roman" w:cs="Times New Roman" w:ascii="Times New Roman" w:hAnsi="Times New Roman"/>
          <w:color w:val="000000"/>
          <w:sz w:val="24"/>
        </w:rPr>
        <w:t xml:space="preserve">                                                       </w:t>
      </w: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>(Фамилия И.О.)</w:t>
      </w:r>
    </w:p>
    <w:p>
      <w:pPr>
        <w:pStyle w:val="Normal"/>
        <w:spacing w:lineRule="auto" w:line="240" w:before="0" w:after="0"/>
        <w:jc w:val="end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end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end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end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end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end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end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end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end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end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end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end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end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end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end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end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end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end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end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end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end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end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end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end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end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end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Приложение № 3</w:t>
      </w:r>
    </w:p>
    <w:p>
      <w:pPr>
        <w:pStyle w:val="Normal"/>
        <w:spacing w:lineRule="auto" w:line="240" w:before="0" w:after="0"/>
        <w:jc w:val="end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576" w:leader="none"/>
        </w:tabs>
        <w:spacing w:lineRule="auto" w:line="240" w:before="0" w:after="0"/>
        <w:ind w:hanging="576" w:start="576"/>
        <w:contextualSpacing/>
        <w:jc w:val="center"/>
        <w:outlineLvl w:val="1"/>
        <w:rPr>
          <w:rFonts w:ascii="Arial" w:hAnsi="Arial"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 w:ascii="Arial" w:hAnsi="Arial"/>
          <w:b/>
          <w:iCs/>
          <w:caps/>
          <w:color w:val="000000"/>
          <w:sz w:val="24"/>
          <w:szCs w:val="24"/>
          <w:lang w:eastAsia="ru-RU"/>
        </w:rPr>
        <w:t>ФОРМА ЗАЯВКИ НА УЧАСТИЕ В торгах</w:t>
      </w:r>
    </w:p>
    <w:p>
      <w:pPr>
        <w:pStyle w:val="Normal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для юридического лица</w:t>
      </w:r>
    </w:p>
    <w:p>
      <w:pPr>
        <w:pStyle w:val="Normal"/>
        <w:widowControl w:val="false"/>
        <w:spacing w:lineRule="auto" w:line="240" w:before="60" w:after="0"/>
        <w:contextualSpacing/>
        <w:jc w:val="center"/>
        <w:textAlignment w:val="baseline"/>
        <w:rPr>
          <w:rFonts w:ascii="Times New Roman" w:hAnsi="Times New Roman" w:eastAsia="Times New Roman" w:cs="Times New Roman"/>
          <w:sz w:val="24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0"/>
          <w:lang w:eastAsia="ru-RU"/>
        </w:rPr>
      </w:r>
    </w:p>
    <w:p>
      <w:pPr>
        <w:pStyle w:val="Normal"/>
        <w:widowControl w:val="false"/>
        <w:spacing w:lineRule="auto" w:line="240" w:before="0" w:after="0"/>
        <w:contextualSpacing/>
        <w:rPr>
          <w:rFonts w:ascii="Times New Roman" w:hAnsi="Times New Roman" w:eastAsia="Times New Roman" w:cs="Times New Roman"/>
          <w:color w:val="000000"/>
          <w:sz w:val="24"/>
          <w:vertAlign w:val="superscript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1. Изучив условия документации</w:t>
      </w:r>
    </w:p>
    <w:p>
      <w:pPr>
        <w:pStyle w:val="Normal"/>
        <w:widowControl w:val="false"/>
        <w:spacing w:lineRule="auto" w:line="24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__________________________________________________________________________________,</w:t>
      </w:r>
    </w:p>
    <w:p>
      <w:pPr>
        <w:pStyle w:val="Normal"/>
        <w:widowControl w:val="false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color w:val="000000"/>
          <w:sz w:val="24"/>
          <w:vertAlign w:val="superscript"/>
        </w:rPr>
      </w:pP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>(наименование организации)</w:t>
      </w:r>
    </w:p>
    <w:p>
      <w:pPr>
        <w:pStyle w:val="Normal"/>
        <w:widowControl w:val="false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в лице _____________________________________________________________________________</w:t>
      </w:r>
    </w:p>
    <w:p>
      <w:pPr>
        <w:pStyle w:val="Normal"/>
        <w:widowControl w:val="false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color w:val="000000"/>
          <w:sz w:val="24"/>
          <w:vertAlign w:val="superscript"/>
        </w:rPr>
      </w:pP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>(наименование должности руководителя и его Ф.И.О.)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сообщает о согласии принять участие в торгах посредством публичного предложения и в случае признания победителем, заключить с Продавцом договор купли-продажи высвобождаемого движимого военного имущества 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2. Сообщаем о себе следующее: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Наименование организации:  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Местонахождение: 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Почтовый адрес: 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Телефон:___________________________________________________________________________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Факс:______________________________________________________________________________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электронный адрес:__________________________________________________________________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Организационно - правовая форма: 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Дата, место и орган регистрации организации: __________________________________________ __________________________________________________________________________________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ИНН______________________________________________________________________________</w:t>
      </w:r>
    </w:p>
    <w:p>
      <w:pPr>
        <w:pStyle w:val="Normal"/>
        <w:widowControl w:val="false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КПП______________________________________________________________________________</w:t>
      </w:r>
    </w:p>
    <w:p>
      <w:pPr>
        <w:pStyle w:val="Normal"/>
        <w:widowControl w:val="false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ОГРН_____________________________________________________________________________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Банковские реквизиты: 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БИК______________________________________________________________________________</w:t>
      </w:r>
    </w:p>
    <w:p>
      <w:pPr>
        <w:pStyle w:val="Normal"/>
        <w:widowControl w:val="false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Фамилии лиц, уполномоченных действовать от имени организации с правом подписи юридических и банковских документов ___________________________________________________________________________________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3. В случае объявления нас победителем, обязуемся подписать договор в течение 5 дней.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sz w:val="24"/>
        </w:rPr>
      </w:pPr>
      <w:r>
        <w:rPr>
          <w:rFonts w:eastAsia="Times New Roman" w:cs="Times New Roman" w:ascii="Times New Roman" w:hAnsi="Times New Roman"/>
          <w:sz w:val="24"/>
        </w:rPr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Руководитель                ________________________                ____________________________</w:t>
      </w:r>
    </w:p>
    <w:p>
      <w:pPr>
        <w:pStyle w:val="Normal"/>
        <w:widowControl w:val="false"/>
        <w:spacing w:lineRule="auto" w:line="36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 xml:space="preserve">                                        </w:t>
      </w: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ab/>
        <w:t xml:space="preserve">                            (подпись)</w:t>
      </w:r>
      <w:r>
        <w:rPr>
          <w:rFonts w:eastAsia="Times New Roman" w:cs="Times New Roman" w:ascii="Times New Roman" w:hAnsi="Times New Roman"/>
          <w:color w:val="000000"/>
          <w:sz w:val="24"/>
        </w:rPr>
        <w:t xml:space="preserve">                                                       </w:t>
      </w: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>(Фамилия И.О.)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sectPr>
      <w:type w:val="nextPage"/>
      <w:pgSz w:w="11906" w:h="16838"/>
      <w:pgMar w:left="1134" w:right="624" w:gutter="0" w:header="0" w:top="624" w:footer="0" w:bottom="624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1" w:characterSet="utf-8"/>
    <w:family w:val="roman"/>
    <w:pitch w:val="variable"/>
  </w:font>
  <w:font w:name="Calibri">
    <w:charset w:val="01"/>
    <w:family w:val="roman"/>
    <w:pitch w:val="default"/>
  </w:font>
  <w:font w:name="Liberation Serif">
    <w:altName w:val="Times New Roman"/>
    <w:charset w:val="01"/>
    <w:family w:val="roman"/>
    <w:pitch w:val="default"/>
  </w:font>
  <w:font w:name="Times New Roman">
    <w:charset w:val="01"/>
    <w:family w:val="roman"/>
    <w:pitch w:val="default"/>
  </w:font>
  <w:font w:name="Courier New">
    <w:charset w:val="01"/>
    <w:family w:val="roman"/>
    <w:pitch w:val="default"/>
  </w:font>
  <w:font w:name="Arial">
    <w:charset w:val="01"/>
    <w:family w:val="swiss"/>
    <w:pitch w:val="default"/>
  </w:font>
  <w:font w:name="Tahoma">
    <w:charset w:val="01"/>
    <w:family w:val="roman"/>
    <w:pitch w:val="default"/>
  </w:font>
  <w:font w:name="Arial Unicode MS">
    <w:charset w:val="01"/>
    <w:family w:val="roman"/>
    <w:pitch w:val="default"/>
  </w:font>
  <w:font w:name="PT Astra Serif">
    <w:charset w:val="01"/>
    <w:family w:val="roman"/>
    <w:pitch w:val="default"/>
  </w:font>
  <w:font w:name="Liberation Sans">
    <w:altName w:val="Arial"/>
    <w:charset w:val="01"/>
    <w:family w:val="roman"/>
    <w:pitch w:val="default"/>
  </w:font>
  <w:font w:name="Times New Roman CYR">
    <w:charset w:val="01"/>
    <w:family w:val="roman"/>
    <w:pitch w:val="default"/>
  </w:font>
  <w:font w:name="TimesNewRomanPSMT">
    <w:charset w:val="01"/>
    <w:family w:val="roman"/>
    <w:pitch w:val="default"/>
  </w:font>
  <w:font w:name="TimesNewRoman">
    <w:charset w:val="01"/>
    <w:family w:val="roman"/>
    <w:pitch w:val="default"/>
  </w:font>
  <w:font w:name="Tinos">
    <w:charset w:val="01"/>
    <w:family w:val="auto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start"/>
      <w:pPr>
        <w:tabs>
          <w:tab w:val="num" w:pos="720"/>
        </w:tabs>
        <w:ind w:start="720" w:hanging="360"/>
      </w:pPr>
      <w:rPr/>
    </w:lvl>
    <w:lvl w:ilvl="1">
      <w:start w:val="1"/>
      <w:numFmt w:val="decimal"/>
      <w:lvlText w:val="%2."/>
      <w:lvlJc w:val="start"/>
      <w:pPr>
        <w:tabs>
          <w:tab w:val="num" w:pos="1080"/>
        </w:tabs>
        <w:ind w:start="1080" w:hanging="360"/>
      </w:pPr>
      <w:rPr/>
    </w:lvl>
    <w:lvl w:ilvl="2">
      <w:start w:val="1"/>
      <w:numFmt w:val="decimal"/>
      <w:lvlText w:val="%3."/>
      <w:lvlJc w:val="start"/>
      <w:pPr>
        <w:tabs>
          <w:tab w:val="num" w:pos="1440"/>
        </w:tabs>
        <w:ind w:start="1440" w:hanging="360"/>
      </w:pPr>
      <w:rPr/>
    </w:lvl>
    <w:lvl w:ilvl="3">
      <w:start w:val="1"/>
      <w:numFmt w:val="decimal"/>
      <w:lvlText w:val="%4."/>
      <w:lvlJc w:val="start"/>
      <w:pPr>
        <w:tabs>
          <w:tab w:val="num" w:pos="1800"/>
        </w:tabs>
        <w:ind w:start="1800" w:hanging="360"/>
      </w:pPr>
      <w:rPr/>
    </w:lvl>
    <w:lvl w:ilvl="4">
      <w:start w:val="1"/>
      <w:numFmt w:val="decimal"/>
      <w:lvlText w:val="%5."/>
      <w:lvlJc w:val="start"/>
      <w:pPr>
        <w:tabs>
          <w:tab w:val="num" w:pos="2160"/>
        </w:tabs>
        <w:ind w:start="2160" w:hanging="360"/>
      </w:pPr>
      <w:rPr/>
    </w:lvl>
    <w:lvl w:ilvl="5">
      <w:start w:val="1"/>
      <w:numFmt w:val="decimal"/>
      <w:lvlText w:val="%6."/>
      <w:lvlJc w:val="start"/>
      <w:pPr>
        <w:tabs>
          <w:tab w:val="num" w:pos="2520"/>
        </w:tabs>
        <w:ind w:start="2520" w:hanging="360"/>
      </w:pPr>
      <w:rPr/>
    </w:lvl>
    <w:lvl w:ilvl="6">
      <w:start w:val="1"/>
      <w:numFmt w:val="decimal"/>
      <w:lvlText w:val="%7."/>
      <w:lvlJc w:val="start"/>
      <w:pPr>
        <w:tabs>
          <w:tab w:val="num" w:pos="2880"/>
        </w:tabs>
        <w:ind w:start="2880" w:hanging="360"/>
      </w:pPr>
      <w:rPr/>
    </w:lvl>
    <w:lvl w:ilvl="7">
      <w:start w:val="1"/>
      <w:numFmt w:val="decimal"/>
      <w:lvlText w:val="%8."/>
      <w:lvlJc w:val="start"/>
      <w:pPr>
        <w:tabs>
          <w:tab w:val="num" w:pos="3240"/>
        </w:tabs>
        <w:ind w:start="3240" w:hanging="360"/>
      </w:pPr>
      <w:rPr/>
    </w:lvl>
    <w:lvl w:ilvl="8">
      <w:start w:val="1"/>
      <w:numFmt w:val="decimal"/>
      <w:lvlText w:val="%9."/>
      <w:lvlJc w:val="start"/>
      <w:pPr>
        <w:tabs>
          <w:tab w:val="num" w:pos="3600"/>
        </w:tabs>
        <w:ind w:start="3600" w:hanging="360"/>
      </w:pPr>
      <w:rPr/>
    </w:lvl>
  </w:abstractNum>
  <w:abstractNum w:abstractNumId="2">
    <w:lvl w:ilvl="0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20"/>
  <w:defaultTabStop w:val="708"/>
  <w:autoHyphenation w:val="true"/>
  <w:hyphenationZone w:val="360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Body Text" w:uiPriority="0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6" w:before="0" w:after="200"/>
      <w:jc w:val="star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Heading2">
    <w:name w:val="heading 2"/>
    <w:basedOn w:val="user2"/>
    <w:next w:val="BodyText"/>
    <w:qFormat/>
    <w:pPr>
      <w:spacing w:before="200" w:after="120"/>
      <w:outlineLvl w:val="1"/>
    </w:pPr>
    <w:rPr>
      <w:rFonts w:ascii="Liberation Serif" w:hAnsi="Liberation Serif" w:eastAsia="Tahoma" w:cs="Tahoma"/>
      <w:b/>
      <w:bCs/>
      <w:sz w:val="36"/>
      <w:szCs w:val="36"/>
    </w:rPr>
  </w:style>
  <w:style w:type="paragraph" w:styleId="Heading5">
    <w:name w:val="heading 5"/>
    <w:basedOn w:val="Normal"/>
    <w:qFormat/>
    <w:rsid w:val="00ca4d4e"/>
    <w:pPr>
      <w:keepNext w:val="true"/>
      <w:spacing w:lineRule="auto" w:line="240" w:before="0" w:after="0"/>
      <w:ind w:hanging="0" w:start="1531"/>
      <w:jc w:val="center"/>
      <w:outlineLvl w:val="4"/>
    </w:pPr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5" w:customStyle="1">
    <w:name w:val="Заголовок 5 Знак"/>
    <w:basedOn w:val="DefaultParagraphFont"/>
    <w:qFormat/>
    <w:rsid w:val="00ca4d4e"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Style12" w:customStyle="1">
    <w:name w:val="Основной текст Знак"/>
    <w:basedOn w:val="DefaultParagraphFont"/>
    <w:qFormat/>
    <w:rsid w:val="003d1a4a"/>
    <w:rPr>
      <w:rFonts w:ascii="Times New Roman" w:hAnsi="Times New Roman" w:eastAsia="Times New Roman" w:cs="Times New Roman"/>
      <w:sz w:val="24"/>
      <w:szCs w:val="24"/>
      <w:lang w:val="x-none" w:eastAsia="x-none"/>
    </w:rPr>
  </w:style>
  <w:style w:type="character" w:styleId="HTML" w:customStyle="1">
    <w:name w:val="Стандартный HTML Знак"/>
    <w:basedOn w:val="DefaultParagraphFont"/>
    <w:uiPriority w:val="99"/>
    <w:qFormat/>
    <w:rsid w:val="00e53d3a"/>
    <w:rPr>
      <w:rFonts w:ascii="Courier New" w:hAnsi="Courier New" w:eastAsia="Times New Roman" w:cs="Courier New"/>
      <w:sz w:val="20"/>
      <w:szCs w:val="20"/>
      <w:lang w:eastAsia="ru-RU"/>
    </w:rPr>
  </w:style>
  <w:style w:type="character" w:styleId="2" w:customStyle="1">
    <w:name w:val="Основной текст 2 Знак"/>
    <w:basedOn w:val="DefaultParagraphFont"/>
    <w:uiPriority w:val="99"/>
    <w:semiHidden/>
    <w:qFormat/>
    <w:rsid w:val="00d36797"/>
    <w:rPr/>
  </w:style>
  <w:style w:type="character" w:styleId="ConsPlusNormal" w:customStyle="1">
    <w:name w:val="ConsPlusNormal Знак"/>
    <w:qFormat/>
    <w:locked/>
    <w:rsid w:val="00d36797"/>
    <w:rPr>
      <w:rFonts w:ascii="Arial" w:hAnsi="Arial" w:eastAsia="Times New Roman" w:cs="Arial"/>
      <w:sz w:val="20"/>
      <w:szCs w:val="20"/>
      <w:lang w:eastAsia="ru-RU"/>
    </w:rPr>
  </w:style>
  <w:style w:type="character" w:styleId="Hyperlink" w:customStyle="1">
    <w:name w:val="Hyperlink"/>
    <w:uiPriority w:val="99"/>
    <w:unhideWhenUsed/>
    <w:qFormat/>
    <w:rsid w:val="00ca4d4e"/>
    <w:rPr>
      <w:color w:val="000080"/>
      <w:u w:val="single"/>
    </w:rPr>
  </w:style>
  <w:style w:type="character" w:styleId="1" w:customStyle="1">
    <w:name w:val="Верхний колонтитул Знак1"/>
    <w:basedOn w:val="DefaultParagraphFont"/>
    <w:uiPriority w:val="99"/>
    <w:qFormat/>
    <w:rsid w:val="00ca4d4e"/>
    <w:rPr/>
  </w:style>
  <w:style w:type="character" w:styleId="Style13" w:customStyle="1">
    <w:name w:val="Верхний колонтитул Знак"/>
    <w:basedOn w:val="DefaultParagraphFont"/>
    <w:qFormat/>
    <w:rsid w:val="00ca4d4e"/>
    <w:rPr/>
  </w:style>
  <w:style w:type="character" w:styleId="Style14" w:customStyle="1">
    <w:name w:val="Нижний колонтитул Знак"/>
    <w:basedOn w:val="DefaultParagraphFont"/>
    <w:uiPriority w:val="99"/>
    <w:qFormat/>
    <w:rsid w:val="00ca4d4e"/>
    <w:rPr/>
  </w:style>
  <w:style w:type="character" w:styleId="Style15" w:customStyle="1">
    <w:name w:val="Текст выноски Знак"/>
    <w:basedOn w:val="DefaultParagraphFont"/>
    <w:uiPriority w:val="99"/>
    <w:semiHidden/>
    <w:qFormat/>
    <w:rsid w:val="00ca4d4e"/>
    <w:rPr>
      <w:rFonts w:ascii="Tahoma" w:hAnsi="Tahoma" w:cs="Tahoma"/>
      <w:sz w:val="16"/>
      <w:szCs w:val="16"/>
    </w:rPr>
  </w:style>
  <w:style w:type="character" w:styleId="Style16" w:customStyle="1">
    <w:name w:val="Текст сноски Знак"/>
    <w:basedOn w:val="DefaultParagraphFont"/>
    <w:uiPriority w:val="99"/>
    <w:semiHidden/>
    <w:qFormat/>
    <w:rsid w:val="00ca4d4e"/>
    <w:rPr>
      <w:rFonts w:ascii="Arial Unicode MS" w:hAnsi="Arial Unicode MS" w:eastAsia="Arial Unicode MS" w:cs="Arial Unicode MS"/>
      <w:color w:val="000000"/>
      <w:sz w:val="20"/>
      <w:szCs w:val="20"/>
      <w:lang w:val="ru-RU" w:eastAsia="ru-RU"/>
    </w:rPr>
  </w:style>
  <w:style w:type="character" w:styleId="Style17" w:customStyle="1">
    <w:name w:val="Символ сноски"/>
    <w:qFormat/>
    <w:rPr>
      <w:vertAlign w:val="superscript"/>
    </w:rPr>
  </w:style>
  <w:style w:type="character" w:styleId="user">
    <w:name w:val="Символ сноски (user)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FootnoteCharacters" w:customStyle="1">
    <w:name w:val="Footnote Characters"/>
    <w:uiPriority w:val="99"/>
    <w:semiHidden/>
    <w:unhideWhenUsed/>
    <w:qFormat/>
    <w:rsid w:val="005300be"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unhideWhenUsed/>
    <w:qFormat/>
    <w:rsid w:val="005300be"/>
    <w:rPr>
      <w:color w:val="800080"/>
      <w:u w:val="single"/>
    </w:rPr>
  </w:style>
  <w:style w:type="character" w:styleId="user1">
    <w:name w:val="Символ нумерации (user)"/>
    <w:qFormat/>
    <w:rPr/>
  </w:style>
  <w:style w:type="character" w:styleId="FontStyle19">
    <w:name w:val="Font Style19"/>
    <w:basedOn w:val="DefaultParagraphFont"/>
    <w:qFormat/>
    <w:rPr>
      <w:rFonts w:ascii="Times New Roman" w:hAnsi="Times New Roman" w:cs="Times New Roman"/>
      <w:b/>
      <w:bCs/>
      <w:sz w:val="22"/>
      <w:szCs w:val="22"/>
    </w:rPr>
  </w:style>
  <w:style w:type="paragraph" w:styleId="Style18">
    <w:name w:val="Заголовок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Noto Sans CJK SC" w:cs="FreeSans"/>
      <w:sz w:val="28"/>
      <w:szCs w:val="28"/>
    </w:rPr>
  </w:style>
  <w:style w:type="paragraph" w:styleId="BodyText">
    <w:name w:val="Body Text"/>
    <w:basedOn w:val="Normal"/>
    <w:rsid w:val="003d1a4a"/>
    <w:pPr>
      <w:spacing w:lineRule="auto" w:line="240" w:before="0" w:after="0"/>
      <w:jc w:val="both"/>
    </w:pPr>
    <w:rPr>
      <w:rFonts w:ascii="Times New Roman" w:hAnsi="Times New Roman" w:eastAsia="Times New Roman" w:cs="Times New Roman"/>
      <w:sz w:val="24"/>
      <w:szCs w:val="24"/>
      <w:lang w:val="x-none" w:eastAsia="x-none"/>
    </w:rPr>
  </w:style>
  <w:style w:type="paragraph" w:styleId="List">
    <w:name w:val="List"/>
    <w:basedOn w:val="BodyText"/>
    <w:pPr/>
    <w:rPr>
      <w:rFonts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ascii="PT Astra Serif" w:hAnsi="PT Astra Serif" w:cs="FreeSans"/>
    </w:rPr>
  </w:style>
  <w:style w:type="paragraph" w:styleId="user2" w:customStyle="1">
    <w:name w:val="Заголовок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Noto Sans Devanagari"/>
      <w:sz w:val="28"/>
      <w:szCs w:val="28"/>
    </w:rPr>
  </w:style>
  <w:style w:type="paragraph" w:styleId="user3">
    <w:name w:val="Указатель (user)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IndexHeading">
    <w:name w:val="index heading"/>
    <w:basedOn w:val="Normal"/>
    <w:qFormat/>
    <w:pPr>
      <w:suppressLineNumbers/>
    </w:pPr>
    <w:rPr>
      <w:rFonts w:cs="Noto Sans Devanagari"/>
    </w:rPr>
  </w:style>
  <w:style w:type="paragraph" w:styleId="ListParagraph">
    <w:name w:val="List Paragraph"/>
    <w:basedOn w:val="Normal"/>
    <w:uiPriority w:val="34"/>
    <w:qFormat/>
    <w:rsid w:val="007d6505"/>
    <w:pPr>
      <w:spacing w:before="0" w:after="200"/>
      <w:ind w:hanging="0" w:start="720"/>
      <w:contextualSpacing/>
    </w:pPr>
    <w:rPr/>
  </w:style>
  <w:style w:type="paragraph" w:styleId="HTMLPreformatted">
    <w:name w:val="HTML Preformatted"/>
    <w:basedOn w:val="Normal"/>
    <w:uiPriority w:val="99"/>
    <w:unhideWhenUsed/>
    <w:qFormat/>
    <w:rsid w:val="00e53d3a"/>
    <w:pPr>
      <w:tabs>
        <w:tab w:val="clear" w:pos="708"/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  <w:spacing w:lineRule="auto" w:line="240" w:before="0" w:after="0"/>
    </w:pPr>
    <w:rPr>
      <w:rFonts w:ascii="Courier New" w:hAnsi="Courier New" w:eastAsia="Times New Roman" w:cs="Courier New"/>
      <w:sz w:val="20"/>
      <w:szCs w:val="20"/>
      <w:lang w:eastAsia="ru-RU"/>
    </w:rPr>
  </w:style>
  <w:style w:type="paragraph" w:styleId="BodyText2">
    <w:name w:val="Body Text 2"/>
    <w:basedOn w:val="Normal"/>
    <w:uiPriority w:val="99"/>
    <w:semiHidden/>
    <w:unhideWhenUsed/>
    <w:qFormat/>
    <w:rsid w:val="00d36797"/>
    <w:pPr>
      <w:spacing w:lineRule="auto" w:line="480" w:before="0" w:after="120"/>
    </w:pPr>
    <w:rPr/>
  </w:style>
  <w:style w:type="paragraph" w:styleId="ConsPlusNormal1" w:customStyle="1">
    <w:name w:val="ConsPlusNormal"/>
    <w:qFormat/>
    <w:rsid w:val="00d36797"/>
    <w:pPr>
      <w:widowControl w:val="false"/>
      <w:suppressAutoHyphens w:val="true"/>
      <w:bidi w:val="0"/>
      <w:spacing w:before="0" w:after="0"/>
      <w:ind w:firstLine="720"/>
      <w:jc w:val="start"/>
    </w:pPr>
    <w:rPr>
      <w:rFonts w:ascii="Arial" w:hAnsi="Arial" w:eastAsia="Times New Roman" w:cs="Arial"/>
      <w:color w:val="auto"/>
      <w:kern w:val="0"/>
      <w:sz w:val="22"/>
      <w:szCs w:val="20"/>
      <w:lang w:val="ru-RU" w:eastAsia="ru-RU" w:bidi="ar-SA"/>
    </w:rPr>
  </w:style>
  <w:style w:type="paragraph" w:styleId="NoSpacing">
    <w:name w:val="No Spacing"/>
    <w:uiPriority w:val="1"/>
    <w:qFormat/>
    <w:rsid w:val="00ca4d4e"/>
    <w:pPr>
      <w:widowControl/>
      <w:suppressAutoHyphens w:val="true"/>
      <w:bidi w:val="0"/>
      <w:spacing w:before="0" w:after="0"/>
      <w:jc w:val="star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11" w:customStyle="1">
    <w:name w:val="Верхний колонтитул1"/>
    <w:basedOn w:val="Normal"/>
    <w:unhideWhenUsed/>
    <w:qFormat/>
    <w:rsid w:val="00ca4d4e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20">
    <w:name w:val="Верхний и нижний колонтитулы"/>
    <w:basedOn w:val="Normal"/>
    <w:qFormat/>
    <w:pPr/>
    <w:rPr/>
  </w:style>
  <w:style w:type="paragraph" w:styleId="Style21">
    <w:name w:val="Колонтитулы"/>
    <w:basedOn w:val="Normal"/>
    <w:qFormat/>
    <w:pPr/>
    <w:rPr/>
  </w:style>
  <w:style w:type="paragraph" w:styleId="user4">
    <w:name w:val="Колонтитулы (user)"/>
    <w:basedOn w:val="Normal"/>
    <w:qFormat/>
    <w:pPr/>
    <w:rPr/>
  </w:style>
  <w:style w:type="paragraph" w:styleId="Header">
    <w:name w:val="header"/>
    <w:basedOn w:val="Normal"/>
    <w:uiPriority w:val="99"/>
    <w:unhideWhenUsed/>
    <w:rsid w:val="00ca4d4e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Footer">
    <w:name w:val="footer"/>
    <w:basedOn w:val="Normal"/>
    <w:uiPriority w:val="99"/>
    <w:unhideWhenUsed/>
    <w:rsid w:val="00ca4d4e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BalloonText">
    <w:name w:val="Balloon Text"/>
    <w:basedOn w:val="Normal"/>
    <w:uiPriority w:val="99"/>
    <w:semiHidden/>
    <w:unhideWhenUsed/>
    <w:qFormat/>
    <w:rsid w:val="00ca4d4e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uiPriority w:val="99"/>
    <w:semiHidden/>
    <w:unhideWhenUsed/>
    <w:rsid w:val="00ca4d4e"/>
    <w:pPr>
      <w:spacing w:lineRule="auto" w:line="240" w:before="0" w:after="0"/>
    </w:pPr>
    <w:rPr>
      <w:rFonts w:ascii="Arial Unicode MS" w:hAnsi="Arial Unicode MS" w:eastAsia="Arial Unicode MS" w:cs="Arial Unicode MS"/>
      <w:color w:val="000000"/>
      <w:sz w:val="20"/>
      <w:szCs w:val="20"/>
      <w:lang w:val="ru-RU" w:eastAsia="ru-RU"/>
    </w:rPr>
  </w:style>
  <w:style w:type="paragraph" w:styleId="xl63" w:customStyle="1">
    <w:name w:val="xl63"/>
    <w:basedOn w:val="Normal"/>
    <w:qFormat/>
    <w:rsid w:val="00ca4d4e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xl64" w:customStyle="1">
    <w:name w:val="xl64"/>
    <w:basedOn w:val="Normal"/>
    <w:qFormat/>
    <w:rsid w:val="00ca4d4e"/>
    <w:pPr>
      <w:spacing w:lineRule="auto" w:line="240" w:beforeAutospacing="1" w:afterAutospacing="1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5" w:customStyle="1">
    <w:name w:val="xl65"/>
    <w:basedOn w:val="Normal"/>
    <w:qFormat/>
    <w:rsid w:val="00ca4d4e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6" w:customStyle="1">
    <w:name w:val="xl66"/>
    <w:basedOn w:val="Normal"/>
    <w:qFormat/>
    <w:rsid w:val="00ca4d4e"/>
    <w:pP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7" w:customStyle="1">
    <w:name w:val="xl67"/>
    <w:basedOn w:val="Normal"/>
    <w:qFormat/>
    <w:rsid w:val="00ca4d4e"/>
    <w:pPr>
      <w:spacing w:lineRule="auto" w:line="240" w:beforeAutospacing="1" w:afterAutospacing="1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8" w:customStyle="1">
    <w:name w:val="xl68"/>
    <w:basedOn w:val="Normal"/>
    <w:qFormat/>
    <w:rsid w:val="00ca4d4e"/>
    <w:pP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9" w:customStyle="1">
    <w:name w:val="xl69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0" w:customStyle="1">
    <w:name w:val="xl70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1" w:customStyle="1">
    <w:name w:val="xl71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2" w:customStyle="1">
    <w:name w:val="xl72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3" w:customStyle="1">
    <w:name w:val="xl73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4" w:customStyle="1">
    <w:name w:val="xl74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5" w:customStyle="1">
    <w:name w:val="xl75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6" w:customStyle="1">
    <w:name w:val="xl76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7" w:customStyle="1">
    <w:name w:val="xl77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8" w:customStyle="1">
    <w:name w:val="xl78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9" w:customStyle="1">
    <w:name w:val="xl79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xl80" w:customStyle="1">
    <w:name w:val="xl80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xl81" w:customStyle="1">
    <w:name w:val="xl81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2" w:customStyle="1">
    <w:name w:val="xl82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3" w:customStyle="1">
    <w:name w:val="xl83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4" w:customStyle="1">
    <w:name w:val="xl84"/>
    <w:basedOn w:val="Normal"/>
    <w:qFormat/>
    <w:rsid w:val="00ca4d4e"/>
    <w:pP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5" w:customStyle="1">
    <w:name w:val="xl85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6" w:customStyle="1">
    <w:name w:val="xl86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7" w:customStyle="1">
    <w:name w:val="xl87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8" w:customStyle="1">
    <w:name w:val="xl88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9" w:customStyle="1">
    <w:name w:val="xl89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0" w:customStyle="1">
    <w:name w:val="xl90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1" w:customStyle="1">
    <w:name w:val="xl91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2" w:customStyle="1">
    <w:name w:val="xl92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3" w:customStyle="1">
    <w:name w:val="xl93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4" w:customStyle="1">
    <w:name w:val="xl94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5" w:customStyle="1">
    <w:name w:val="xl95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6" w:customStyle="1">
    <w:name w:val="xl96"/>
    <w:basedOn w:val="Normal"/>
    <w:qFormat/>
    <w:rsid w:val="00ca4d4e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7" w:customStyle="1">
    <w:name w:val="xl97"/>
    <w:basedOn w:val="Normal"/>
    <w:qFormat/>
    <w:rsid w:val="00ca4d4e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8" w:customStyle="1">
    <w:name w:val="xl98"/>
    <w:basedOn w:val="Normal"/>
    <w:qFormat/>
    <w:rsid w:val="00ca4d4e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9" w:customStyle="1">
    <w:name w:val="xl99"/>
    <w:basedOn w:val="Normal"/>
    <w:qFormat/>
    <w:rsid w:val="00ca4d4e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00" w:customStyle="1">
    <w:name w:val="xl100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01" w:customStyle="1">
    <w:name w:val="xl101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02" w:customStyle="1">
    <w:name w:val="xl102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03" w:customStyle="1">
    <w:name w:val="xl103"/>
    <w:basedOn w:val="Normal"/>
    <w:qFormat/>
    <w:rsid w:val="00ca4d4e"/>
    <w:pPr>
      <w:pBdr>
        <w:top w:val="single" w:sz="4" w:space="0" w:color="000000"/>
        <w:lef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04" w:customStyle="1">
    <w:name w:val="xl104"/>
    <w:basedOn w:val="Normal"/>
    <w:qFormat/>
    <w:rsid w:val="00ca4d4e"/>
    <w:pPr>
      <w:pBdr>
        <w:top w:val="single" w:sz="4" w:space="0" w:color="000000"/>
        <w:left w:val="single" w:sz="8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05" w:customStyle="1">
    <w:name w:val="xl105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06" w:customStyle="1">
    <w:name w:val="xl106"/>
    <w:basedOn w:val="Normal"/>
    <w:qFormat/>
    <w:rsid w:val="00ca4d4e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07" w:customStyle="1">
    <w:name w:val="xl107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xl108" w:customStyle="1">
    <w:name w:val="xl108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xl109" w:customStyle="1">
    <w:name w:val="xl109"/>
    <w:basedOn w:val="Normal"/>
    <w:qFormat/>
    <w:rsid w:val="00ca4d4e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0" w:customStyle="1">
    <w:name w:val="xl110"/>
    <w:basedOn w:val="Normal"/>
    <w:qFormat/>
    <w:rsid w:val="00ca4d4e"/>
    <w:pPr>
      <w:pBdr>
        <w:top w:val="single" w:sz="8" w:space="0" w:color="000000"/>
        <w:left w:val="single" w:sz="8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1" w:customStyle="1">
    <w:name w:val="xl111"/>
    <w:basedOn w:val="Normal"/>
    <w:qFormat/>
    <w:rsid w:val="00ca4d4e"/>
    <w:pPr>
      <w:pBdr>
        <w:top w:val="single" w:sz="8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2" w:customStyle="1">
    <w:name w:val="xl112"/>
    <w:basedOn w:val="Normal"/>
    <w:qFormat/>
    <w:rsid w:val="00ca4d4e"/>
    <w:pPr>
      <w:pBdr>
        <w:top w:val="single" w:sz="8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3" w:customStyle="1">
    <w:name w:val="xl113"/>
    <w:basedOn w:val="Normal"/>
    <w:qFormat/>
    <w:rsid w:val="00ca4d4e"/>
    <w:pPr>
      <w:pBdr>
        <w:top w:val="single" w:sz="8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4" w:customStyle="1">
    <w:name w:val="xl114"/>
    <w:basedOn w:val="Normal"/>
    <w:qFormat/>
    <w:rsid w:val="00ca4d4e"/>
    <w:pPr>
      <w:pBdr>
        <w:top w:val="single" w:sz="8" w:space="0" w:color="000000"/>
        <w:lef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5" w:customStyle="1">
    <w:name w:val="xl115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Autospacing="1" w:afterAutospacing="1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6" w:customStyle="1">
    <w:name w:val="xl116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Autospacing="1" w:afterAutospacing="1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7" w:customStyle="1">
    <w:name w:val="xl117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8" w:customStyle="1">
    <w:name w:val="xl118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9" w:customStyle="1">
    <w:name w:val="xl119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8" w:space="0" w:color="000000"/>
      </w:pBd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0" w:customStyle="1">
    <w:name w:val="xl120"/>
    <w:basedOn w:val="Normal"/>
    <w:qFormat/>
    <w:rsid w:val="00ca4d4e"/>
    <w:pPr>
      <w:pBdr>
        <w:top w:val="single" w:sz="8" w:space="0" w:color="000000"/>
        <w:left w:val="single" w:sz="4" w:space="0" w:color="000000"/>
        <w:right w:val="single" w:sz="8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1" w:customStyle="1">
    <w:name w:val="xl121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2" w:customStyle="1">
    <w:name w:val="xl122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3" w:customStyle="1">
    <w:name w:val="xl123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4" w:customStyle="1">
    <w:name w:val="xl124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5" w:customStyle="1">
    <w:name w:val="xl125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26" w:customStyle="1">
    <w:name w:val="xl126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8" w:space="0" w:color="000000"/>
      </w:pBdr>
      <w:spacing w:lineRule="auto" w:line="240" w:beforeAutospacing="1" w:afterAutospacing="1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27" w:customStyle="1">
    <w:name w:val="xl127"/>
    <w:basedOn w:val="Normal"/>
    <w:qFormat/>
    <w:rsid w:val="00ca4d4e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8" w:customStyle="1">
    <w:name w:val="xl128"/>
    <w:basedOn w:val="Normal"/>
    <w:qFormat/>
    <w:rsid w:val="00ca4d4e"/>
    <w:pPr>
      <w:pBdr>
        <w:top w:val="single" w:sz="8" w:space="0" w:color="000000"/>
        <w:bottom w:val="single" w:sz="8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9" w:customStyle="1">
    <w:name w:val="xl129"/>
    <w:basedOn w:val="Normal"/>
    <w:qFormat/>
    <w:rsid w:val="00ca4d4e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30" w:customStyle="1">
    <w:name w:val="xl130"/>
    <w:basedOn w:val="Normal"/>
    <w:qFormat/>
    <w:rsid w:val="00ca4d4e"/>
    <w:pPr>
      <w:pBdr>
        <w:top w:val="single" w:sz="4" w:space="0" w:color="000000"/>
        <w:left w:val="single" w:sz="8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31" w:customStyle="1">
    <w:name w:val="xl131"/>
    <w:basedOn w:val="Normal"/>
    <w:qFormat/>
    <w:rsid w:val="00ca4d4e"/>
    <w:pPr>
      <w:pBdr>
        <w:top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32" w:customStyle="1">
    <w:name w:val="xl132"/>
    <w:basedOn w:val="Normal"/>
    <w:qFormat/>
    <w:rsid w:val="00ca4d4e"/>
    <w:pPr>
      <w:pBdr>
        <w:top w:val="single" w:sz="8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33" w:customStyle="1">
    <w:name w:val="xl133"/>
    <w:basedOn w:val="Normal"/>
    <w:qFormat/>
    <w:rsid w:val="00ca4d4e"/>
    <w:pPr>
      <w:spacing w:lineRule="auto" w:line="240" w:beforeAutospacing="1" w:afterAutospacing="1"/>
      <w:jc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user5" w:customStyle="1">
    <w:name w:val="Содержимое таблицы (user)"/>
    <w:basedOn w:val="Normal"/>
    <w:qFormat/>
    <w:pPr>
      <w:suppressLineNumbers/>
    </w:pPr>
    <w:rPr/>
  </w:style>
  <w:style w:type="paragraph" w:styleId="user6" w:customStyle="1">
    <w:name w:val="Заголовок таблицы (user)"/>
    <w:basedOn w:val="user5"/>
    <w:qFormat/>
    <w:pPr>
      <w:jc w:val="center"/>
    </w:pPr>
    <w:rPr>
      <w:b/>
      <w:bCs/>
    </w:rPr>
  </w:style>
  <w:style w:type="paragraph" w:styleId="Style22">
    <w:name w:val="Style2"/>
    <w:basedOn w:val="Normal"/>
    <w:qFormat/>
    <w:pPr>
      <w:spacing w:lineRule="exact" w:line="444"/>
      <w:ind w:firstLine="1862"/>
    </w:pPr>
    <w:rPr/>
  </w:style>
  <w:style w:type="paragraph" w:styleId="Style23">
    <w:name w:val="Содержимое таблицы"/>
    <w:basedOn w:val="Normal"/>
    <w:qFormat/>
    <w:pPr>
      <w:suppressLineNumbers/>
    </w:pPr>
    <w:rPr/>
  </w:style>
  <w:style w:type="numbering" w:styleId="Style24" w:default="1">
    <w:name w:val="Без списка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7">
    <w:name w:val="Table Grid"/>
    <w:basedOn w:val="a1"/>
    <w:uiPriority w:val="59"/>
    <w:rsid w:val="007d6505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">
    <w:name w:val="Сетка таблицы1"/>
    <w:basedOn w:val="a1"/>
    <w:uiPriority w:val="59"/>
    <w:rsid w:val="005300be"/>
    <w:rPr>
      <w:lang w:eastAsia="ru-RU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www.roseltorg.ru/" TargetMode="External"/><Relationship Id="rId3" Type="http://schemas.openxmlformats.org/officeDocument/2006/relationships/hyperlink" Target="https://www.roseltorg.ru/" TargetMode="External"/><Relationship Id="rId4" Type="http://schemas.openxmlformats.org/officeDocument/2006/relationships/hyperlink" Target="consultantplus://offline/ref=8608A915A77589369BD2B7F347595D5ABC538B22E06FA735FD52FF4C23570EP" TargetMode="External"/><Relationship Id="rId5" Type="http://schemas.openxmlformats.org/officeDocument/2006/relationships/hyperlink" Target="consultantplus://offline/ref=8886142B30A1ED25946F3605BFB8077666AA29F7575C6D2C2FD59D8142AD0511DD20E07C6D1DA4B9D5ZBG" TargetMode="External"/><Relationship Id="rId6" Type="http://schemas.openxmlformats.org/officeDocument/2006/relationships/hyperlink" Target="http://www.torgi.gov.ru/" TargetMode="External"/><Relationship Id="rId7" Type="http://schemas.openxmlformats.org/officeDocument/2006/relationships/hyperlink" Target="http://www.roseltorg.ru/" TargetMode="External"/><Relationship Id="rId8" Type="http://schemas.openxmlformats.org/officeDocument/2006/relationships/numbering" Target="numbering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1496</TotalTime>
  <Application>LibreOffice/25.8.3.2$Linux_X86_64 LibreOffice_project/580$Build-2</Application>
  <AppVersion>15.0000</AppVersion>
  <Pages>7</Pages>
  <Words>2318</Words>
  <Characters>18208</Characters>
  <CharactersWithSpaces>20678</CharactersWithSpaces>
  <Paragraphs>185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2020-10-24T03:17:00Z</dcterms:created>
  <dc:creator>Лукьянов Алексей Анатольевич</dc:creator>
  <dc:description/>
  <dc:language>ru-RU</dc:language>
  <cp:lastModifiedBy/>
  <cp:lastPrinted>2026-08-19T12:11:39Z</cp:lastPrinted>
  <dcterms:modified xsi:type="dcterms:W3CDTF">2026-08-20T10:47:45Z</dcterms:modified>
  <cp:revision>46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